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646C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8"/>
          <w:szCs w:val="48"/>
          <w:lang w:eastAsia="zh-CN"/>
        </w:rPr>
      </w:pPr>
      <w:r>
        <w:rPr>
          <w:rFonts w:hint="default" w:ascii="Times New Roman" w:hAnsi="Times New Roman" w:eastAsia="方正小标宋简体" w:cs="Times New Roman"/>
          <w:color w:val="auto"/>
          <w:sz w:val="48"/>
          <w:szCs w:val="48"/>
          <w:lang w:val="en-US" w:eastAsia="zh-CN"/>
        </w:rPr>
        <w:t>二连浩特</w:t>
      </w:r>
      <w:r>
        <w:rPr>
          <w:rFonts w:hint="default" w:ascii="Times New Roman" w:hAnsi="Times New Roman" w:eastAsia="方正小标宋简体" w:cs="Times New Roman"/>
          <w:color w:val="auto"/>
          <w:sz w:val="48"/>
          <w:szCs w:val="48"/>
          <w:lang w:eastAsia="zh-CN"/>
        </w:rPr>
        <w:t>市“</w:t>
      </w:r>
      <w:r>
        <w:rPr>
          <w:rFonts w:hint="default" w:ascii="Times New Roman" w:hAnsi="Times New Roman" w:eastAsia="方正小标宋简体" w:cs="Times New Roman"/>
          <w:color w:val="auto"/>
          <w:sz w:val="48"/>
          <w:szCs w:val="48"/>
          <w:lang w:val="en-US" w:eastAsia="zh-CN"/>
        </w:rPr>
        <w:t>一老一小</w:t>
      </w:r>
      <w:r>
        <w:rPr>
          <w:rFonts w:hint="default"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lang w:val="en-US" w:eastAsia="zh-CN"/>
        </w:rPr>
        <w:t>整体解决</w:t>
      </w:r>
      <w:r>
        <w:rPr>
          <w:rFonts w:hint="default" w:ascii="Times New Roman" w:hAnsi="Times New Roman" w:eastAsia="方正小标宋简体" w:cs="Times New Roman"/>
          <w:color w:val="auto"/>
          <w:sz w:val="48"/>
          <w:szCs w:val="48"/>
          <w:lang w:eastAsia="zh-CN"/>
        </w:rPr>
        <w:t>方案</w:t>
      </w:r>
    </w:p>
    <w:p w14:paraId="342F3A8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w:t>
      </w:r>
      <w:r>
        <w:rPr>
          <w:rFonts w:hint="default" w:ascii="Times New Roman" w:hAnsi="Times New Roman" w:eastAsia="方正小标宋简体" w:cs="Times New Roman"/>
          <w:color w:val="auto"/>
          <w:sz w:val="44"/>
          <w:szCs w:val="44"/>
          <w:lang w:val="en-US" w:eastAsia="zh-CN"/>
        </w:rPr>
        <w:t>21</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p>
    <w:p w14:paraId="6E6C329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259A4A2E">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6E98C244">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AC2D5A0">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4905713F">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27E15DA4">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174C773">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59B0275">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4AC6A26">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0A3915BC">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3BDCCEE2">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38AAD70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1BE0CC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2022年8月</w:t>
      </w:r>
    </w:p>
    <w:p w14:paraId="25516A2B">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14:paraId="47FE60AA">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38B3B2D9">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284C0FE9">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07BB6207">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sectPr>
          <w:footerReference r:id="rId3" w:type="default"/>
          <w:pgSz w:w="11910" w:h="16840"/>
          <w:pgMar w:top="1580" w:right="1200" w:bottom="1900" w:left="1480" w:header="0" w:footer="1710" w:gutter="0"/>
          <w:pgBorders>
            <w:top w:val="none" w:sz="0" w:space="0"/>
            <w:left w:val="none" w:sz="0" w:space="0"/>
            <w:bottom w:val="none" w:sz="0" w:space="0"/>
            <w:right w:val="none" w:sz="0" w:space="0"/>
          </w:pgBorders>
          <w:pgNumType w:fmt="decimal" w:start="1"/>
          <w:cols w:space="720" w:num="1"/>
          <w:docGrid w:linePitch="299" w:charSpace="0"/>
        </w:sectPr>
      </w:pPr>
    </w:p>
    <w:p w14:paraId="2E2467AD">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目   录</w:t>
      </w:r>
    </w:p>
    <w:p w14:paraId="6214AAD5">
      <w:pPr>
        <w:pStyle w:val="11"/>
        <w:rPr>
          <w:rFonts w:hint="default" w:ascii="Times New Roman" w:hAnsi="Times New Roman" w:eastAsia="仿宋_GB2312" w:cs="Times New Roman"/>
          <w:color w:val="auto"/>
          <w:sz w:val="32"/>
          <w:szCs w:val="32"/>
          <w:lang w:val="en-US" w:eastAsia="zh-CN"/>
        </w:rPr>
      </w:pPr>
    </w:p>
    <w:p w14:paraId="44E029E7">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cs="Times New Roman"/>
        </w:rPr>
      </w:pPr>
    </w:p>
    <w:p w14:paraId="0E70351A">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_Toc29668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rPr>
        <w:t>一、</w:t>
      </w:r>
      <w:r>
        <w:rPr>
          <w:rFonts w:hint="default" w:ascii="Times New Roman" w:hAnsi="Times New Roman" w:eastAsia="仿宋" w:cs="Times New Roman"/>
          <w:szCs w:val="32"/>
          <w:lang w:eastAsia="zh-CN"/>
        </w:rPr>
        <w:t>实施背景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_Toc29668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415E6C05">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_Toc3733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（一）发展基础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_Toc3733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57D3A6D7">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_Toc9365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（二）发展趋势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5E5D90C8">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三</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发展思路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p w14:paraId="05E46313">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（四）发展原则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p w14:paraId="68063D9D">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_Toc6735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eastAsia="zh-CN"/>
        </w:rPr>
        <w:t>二、发展目标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_Toc6735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6E51A7B3">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_Toc5152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（一）整体目标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_Toc5152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656C68B6">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_Toc20254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（二）具体指标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_Toc20254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20242C37">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_Toc14466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kern w:val="2"/>
          <w:szCs w:val="32"/>
          <w:lang w:val="zh-CN" w:eastAsia="zh-CN" w:bidi="ar-SA"/>
        </w:rPr>
        <w:t>三、重点任务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_Toc14466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CC0599B">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_Toc12849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w:t>
      </w:r>
      <w:r>
        <w:rPr>
          <w:rFonts w:hint="default" w:ascii="Times New Roman" w:hAnsi="Times New Roman" w:eastAsia="仿宋" w:cs="Times New Roman"/>
          <w:szCs w:val="32"/>
          <w:lang w:val="en-US" w:eastAsia="zh-CN"/>
        </w:rPr>
        <w:t>一</w:t>
      </w:r>
      <w:r>
        <w:rPr>
          <w:rFonts w:hint="default" w:ascii="Times New Roman" w:hAnsi="Times New Roman" w:eastAsia="仿宋" w:cs="Times New Roman"/>
          <w:szCs w:val="32"/>
          <w:lang w:val="zh-CN" w:eastAsia="zh-CN"/>
        </w:rPr>
        <w:t>）</w:t>
      </w:r>
      <w:r>
        <w:rPr>
          <w:rFonts w:hint="default" w:ascii="Times New Roman" w:hAnsi="Times New Roman" w:eastAsia="仿宋" w:cs="Times New Roman"/>
          <w:szCs w:val="32"/>
          <w:lang w:val="en-US" w:eastAsia="zh-CN"/>
        </w:rPr>
        <w:t>兜底线、促普惠、市场化协同发展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_Toc12849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DFA90CA">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_Toc21699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 xml:space="preserve">（二） </w:t>
      </w:r>
      <w:r>
        <w:rPr>
          <w:rFonts w:hint="default" w:ascii="Times New Roman" w:hAnsi="Times New Roman" w:eastAsia="仿宋" w:cs="Times New Roman"/>
          <w:szCs w:val="32"/>
          <w:lang w:val="en-US" w:eastAsia="zh-CN"/>
        </w:rPr>
        <w:t>强化居家社区服务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_Toc21699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235173DB">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_Toc27291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i w:val="0"/>
          <w:caps w:val="0"/>
          <w:spacing w:val="0"/>
          <w:szCs w:val="32"/>
          <w:shd w:val="clear" w:color="auto" w:fill="auto"/>
          <w:lang w:eastAsia="zh-CN"/>
        </w:rPr>
        <w:t>（三）</w:t>
      </w:r>
      <w:r>
        <w:rPr>
          <w:rFonts w:hint="default" w:ascii="Times New Roman" w:hAnsi="Times New Roman" w:eastAsia="仿宋" w:cs="Times New Roman"/>
          <w:bCs w:val="0"/>
          <w:i w:val="0"/>
          <w:caps w:val="0"/>
          <w:spacing w:val="0"/>
          <w:szCs w:val="32"/>
          <w:shd w:val="clear" w:color="auto" w:fill="auto"/>
          <w:lang w:val="en-US" w:eastAsia="zh-CN"/>
        </w:rPr>
        <w:t>促进</w:t>
      </w:r>
      <w:r>
        <w:rPr>
          <w:rFonts w:hint="default" w:ascii="Times New Roman" w:hAnsi="Times New Roman" w:eastAsia="仿宋" w:cs="Times New Roman"/>
          <w:bCs w:val="0"/>
          <w:i w:val="0"/>
          <w:caps w:val="0"/>
          <w:spacing w:val="0"/>
          <w:szCs w:val="32"/>
          <w:shd w:val="clear" w:color="auto" w:fill="auto"/>
        </w:rPr>
        <w:t>医养融合发展</w:t>
      </w:r>
      <w:r>
        <w:rPr>
          <w:rFonts w:hint="default" w:ascii="Times New Roman" w:hAnsi="Times New Roman" w:eastAsia="仿宋" w:cs="Times New Roman"/>
          <w:bCs w:val="0"/>
          <w:i w:val="0"/>
          <w:caps w:val="0"/>
          <w:spacing w:val="0"/>
          <w:szCs w:val="32"/>
          <w:shd w:val="clear" w:color="auto" w:fill="auto"/>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_Toc27291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732B0179">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_Toc27415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i w:val="0"/>
          <w:caps w:val="0"/>
          <w:spacing w:val="0"/>
          <w:szCs w:val="32"/>
          <w:shd w:val="clear" w:color="auto" w:fill="auto"/>
          <w:lang w:val="en-US" w:eastAsia="zh-CN"/>
        </w:rPr>
        <w:t>（四）加快儿童友好城市建设。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_Toc27415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1BA10D22">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_Toc13194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（五）培育壮大用品和服务行业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_Toc13194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4B971D22">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_Toc3246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kern w:val="2"/>
          <w:szCs w:val="32"/>
          <w:lang w:val="en-US" w:eastAsia="zh-CN" w:bidi="ar-SA"/>
        </w:rPr>
        <w:t>四、</w:t>
      </w:r>
      <w:r>
        <w:rPr>
          <w:rFonts w:hint="default" w:ascii="Times New Roman" w:hAnsi="Times New Roman" w:eastAsia="仿宋" w:cs="Times New Roman"/>
          <w:bCs/>
          <w:kern w:val="2"/>
          <w:szCs w:val="32"/>
          <w:lang w:val="en-US" w:eastAsia="zh-CN" w:bidi="ar-SA"/>
        </w:rPr>
        <w:t>保障要素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_Toc3246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F9A1376">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rPr>
      </w:pPr>
    </w:p>
    <w:p w14:paraId="05B4D03F">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_Toc31034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szCs w:val="32"/>
          <w:lang w:val="en-US" w:eastAsia="zh-CN"/>
        </w:rPr>
        <w:t>附件：1、重大政策清单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_Toc31034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909F28A">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_Toc23901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szCs w:val="32"/>
          <w:lang w:val="en-US" w:eastAsia="zh-CN"/>
        </w:rPr>
        <w:t>2、重大项目清单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_Toc23901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8ADB45A">
      <w:pPr>
        <w:pStyle w:val="21"/>
        <w:keepNext w:val="0"/>
        <w:keepLines w:val="0"/>
        <w:pageBreakBefore w:val="0"/>
        <w:widowControl/>
        <w:tabs>
          <w:tab w:val="right" w:leader="dot" w:pos="9230"/>
        </w:tabs>
        <w:kinsoku/>
        <w:wordWrap/>
        <w:overflowPunct/>
        <w:topLinePunct w:val="0"/>
        <w:autoSpaceDE/>
        <w:autoSpaceDN/>
        <w:bidi w:val="0"/>
        <w:adjustRightInd/>
        <w:snapToGrid/>
        <w:spacing w:line="360" w:lineRule="auto"/>
        <w:ind w:firstLine="60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Cs w:val="32"/>
        </w:rPr>
        <w:fldChar w:fldCharType="end"/>
      </w:r>
    </w:p>
    <w:p w14:paraId="2CBB943F">
      <w:pPr>
        <w:keepNext w:val="0"/>
        <w:keepLines w:val="0"/>
        <w:pageBreakBefore w:val="0"/>
        <w:kinsoku/>
        <w:wordWrap/>
        <w:overflowPunct/>
        <w:topLinePunct w:val="0"/>
        <w:autoSpaceDE w:val="0"/>
        <w:autoSpaceDN w:val="0"/>
        <w:bidi w:val="0"/>
        <w:adjustRightInd/>
        <w:snapToGrid/>
        <w:spacing w:line="360" w:lineRule="auto"/>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w:t>
      </w:r>
      <w:r>
        <w:rPr>
          <w:rFonts w:hint="default" w:ascii="Times New Roman" w:hAnsi="Times New Roman" w:eastAsia="仿宋" w:cs="Times New Roman"/>
          <w:color w:val="auto"/>
          <w:sz w:val="32"/>
          <w:szCs w:val="32"/>
          <w:lang w:val="en-US" w:eastAsia="zh-CN"/>
        </w:rPr>
        <w:t>整体解决“一老一小”问题，</w:t>
      </w:r>
      <w:r>
        <w:rPr>
          <w:rFonts w:hint="default" w:ascii="Times New Roman" w:hAnsi="Times New Roman" w:eastAsia="仿宋" w:cs="Times New Roman"/>
          <w:color w:val="auto"/>
          <w:sz w:val="32"/>
          <w:szCs w:val="32"/>
        </w:rPr>
        <w:t>推进</w:t>
      </w:r>
      <w:r>
        <w:rPr>
          <w:rFonts w:hint="default" w:ascii="Times New Roman" w:hAnsi="Times New Roman" w:eastAsia="仿宋" w:cs="Times New Roman"/>
          <w:color w:val="auto"/>
          <w:sz w:val="32"/>
          <w:szCs w:val="32"/>
          <w:lang w:eastAsia="zh-CN"/>
        </w:rPr>
        <w:t>我市</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eastAsia="zh-CN"/>
        </w:rPr>
        <w:t>事业</w:t>
      </w:r>
      <w:r>
        <w:rPr>
          <w:rFonts w:hint="default" w:ascii="Times New Roman" w:hAnsi="Times New Roman" w:eastAsia="仿宋" w:cs="Times New Roman"/>
          <w:color w:val="auto"/>
          <w:sz w:val="32"/>
          <w:szCs w:val="32"/>
        </w:rPr>
        <w:t>高质量发展，根据</w:t>
      </w:r>
      <w:r>
        <w:rPr>
          <w:rFonts w:hint="default" w:ascii="Times New Roman" w:hAnsi="Times New Roman" w:eastAsia="仿宋" w:cs="Times New Roman"/>
          <w:color w:val="auto"/>
          <w:sz w:val="32"/>
          <w:szCs w:val="32"/>
          <w:lang w:eastAsia="zh-CN"/>
        </w:rPr>
        <w:t>《国务院办公厅关于促进3岁以下婴幼儿照护服务发展的指导意见》（国办发〔2019〕15号）、</w:t>
      </w:r>
      <w:r>
        <w:rPr>
          <w:rFonts w:hint="default" w:ascii="Times New Roman" w:hAnsi="Times New Roman" w:eastAsia="仿宋" w:cs="Times New Roman"/>
          <w:color w:val="auto"/>
          <w:sz w:val="32"/>
          <w:szCs w:val="32"/>
        </w:rPr>
        <w:t>《民政部关于进一步扩大养老服务供给促进养老服务消费的实施意见》（民发〔2019〕88号）</w:t>
      </w:r>
      <w:r>
        <w:rPr>
          <w:rFonts w:hint="default" w:ascii="Times New Roman" w:hAnsi="Times New Roman" w:eastAsia="仿宋" w:cs="Times New Roman"/>
          <w:color w:val="auto"/>
          <w:sz w:val="32"/>
          <w:szCs w:val="32"/>
          <w:lang w:eastAsia="zh-CN"/>
        </w:rPr>
        <w:t>和《国务院办公厅关于促进养老托育服务健康发展的意见》（国办发〔2020〕52号）</w:t>
      </w:r>
      <w:r>
        <w:rPr>
          <w:rFonts w:hint="default" w:ascii="Times New Roman" w:hAnsi="Times New Roman" w:eastAsia="仿宋" w:cs="Times New Roman"/>
          <w:color w:val="auto"/>
          <w:sz w:val="32"/>
          <w:szCs w:val="32"/>
        </w:rPr>
        <w:t>精神，制定本</w:t>
      </w:r>
      <w:r>
        <w:rPr>
          <w:rFonts w:hint="default" w:ascii="Times New Roman" w:hAnsi="Times New Roman" w:eastAsia="仿宋" w:cs="Times New Roman"/>
          <w:color w:val="auto"/>
          <w:sz w:val="32"/>
          <w:szCs w:val="32"/>
          <w:lang w:eastAsia="zh-CN"/>
        </w:rPr>
        <w:t>方案</w:t>
      </w:r>
      <w:r>
        <w:rPr>
          <w:rFonts w:hint="default" w:ascii="Times New Roman" w:hAnsi="Times New Roman" w:eastAsia="仿宋" w:cs="Times New Roman"/>
          <w:color w:val="auto"/>
          <w:sz w:val="32"/>
          <w:szCs w:val="32"/>
        </w:rPr>
        <w:t>。</w:t>
      </w:r>
    </w:p>
    <w:p w14:paraId="48AEF740">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outlineLvl w:val="0"/>
        <w:rPr>
          <w:rFonts w:hint="default" w:ascii="Times New Roman" w:hAnsi="Times New Roman" w:eastAsia="仿宋" w:cs="Times New Roman"/>
          <w:b/>
          <w:bCs/>
          <w:color w:val="auto"/>
          <w:sz w:val="32"/>
          <w:szCs w:val="32"/>
          <w:lang w:eastAsia="zh-CN"/>
        </w:rPr>
      </w:pPr>
      <w:bookmarkStart w:id="0" w:name="_Toc29668"/>
      <w:bookmarkStart w:id="1" w:name="_Toc3662"/>
      <w:bookmarkStart w:id="2" w:name="_Toc15150"/>
      <w:bookmarkStart w:id="3" w:name="_Toc29267"/>
      <w:bookmarkStart w:id="4" w:name="_Toc5552"/>
      <w:bookmarkStart w:id="5" w:name="_Toc24492"/>
      <w:bookmarkStart w:id="6" w:name="_Toc26250"/>
      <w:bookmarkStart w:id="7" w:name="_Toc8757"/>
      <w:r>
        <w:rPr>
          <w:rFonts w:hint="default" w:ascii="Times New Roman" w:hAnsi="Times New Roman" w:eastAsia="仿宋" w:cs="Times New Roman"/>
          <w:b/>
          <w:bCs/>
          <w:color w:val="auto"/>
          <w:sz w:val="32"/>
          <w:szCs w:val="32"/>
        </w:rPr>
        <w:t>一、</w:t>
      </w:r>
      <w:bookmarkStart w:id="8" w:name="_Toc6899"/>
      <w:bookmarkStart w:id="9" w:name="_Toc11467"/>
      <w:bookmarkStart w:id="10" w:name="_Toc23578"/>
      <w:r>
        <w:rPr>
          <w:rFonts w:hint="default" w:ascii="Times New Roman" w:hAnsi="Times New Roman" w:eastAsia="仿宋" w:cs="Times New Roman"/>
          <w:b/>
          <w:bCs/>
          <w:color w:val="auto"/>
          <w:sz w:val="32"/>
          <w:szCs w:val="32"/>
          <w:lang w:eastAsia="zh-CN"/>
        </w:rPr>
        <w:t>实施背景</w:t>
      </w:r>
      <w:bookmarkEnd w:id="0"/>
      <w:bookmarkEnd w:id="1"/>
      <w:bookmarkEnd w:id="2"/>
      <w:bookmarkEnd w:id="3"/>
      <w:bookmarkEnd w:id="4"/>
      <w:bookmarkEnd w:id="5"/>
      <w:bookmarkEnd w:id="6"/>
      <w:bookmarkEnd w:id="7"/>
      <w:bookmarkEnd w:id="8"/>
      <w:bookmarkEnd w:id="9"/>
      <w:bookmarkEnd w:id="10"/>
    </w:p>
    <w:p w14:paraId="6062C738">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11" w:name="_Toc8381"/>
      <w:bookmarkStart w:id="12" w:name="_Toc11955"/>
      <w:bookmarkStart w:id="13" w:name="_Toc31402"/>
      <w:bookmarkStart w:id="14" w:name="_Toc3733"/>
      <w:bookmarkStart w:id="15" w:name="_Toc11110"/>
      <w:r>
        <w:rPr>
          <w:rFonts w:hint="default" w:ascii="Times New Roman" w:hAnsi="Times New Roman" w:eastAsia="仿宋" w:cs="Times New Roman"/>
          <w:b/>
          <w:bCs/>
          <w:color w:val="auto"/>
          <w:sz w:val="32"/>
          <w:szCs w:val="32"/>
          <w:lang w:val="en-US" w:eastAsia="zh-CN"/>
        </w:rPr>
        <w:t>（一）</w:t>
      </w:r>
      <w:bookmarkEnd w:id="11"/>
      <w:r>
        <w:rPr>
          <w:rFonts w:hint="default" w:ascii="Times New Roman" w:hAnsi="Times New Roman" w:eastAsia="仿宋" w:cs="Times New Roman"/>
          <w:b/>
          <w:bCs/>
          <w:color w:val="auto"/>
          <w:sz w:val="32"/>
          <w:szCs w:val="32"/>
          <w:lang w:val="en-US" w:eastAsia="zh-CN"/>
        </w:rPr>
        <w:t>发展基础</w:t>
      </w:r>
      <w:bookmarkEnd w:id="12"/>
      <w:bookmarkEnd w:id="13"/>
      <w:bookmarkEnd w:id="14"/>
      <w:bookmarkEnd w:id="15"/>
    </w:p>
    <w:p w14:paraId="63F28B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“十三五”期间，</w:t>
      </w:r>
      <w:r>
        <w:rPr>
          <w:rFonts w:hint="default" w:ascii="Times New Roman" w:hAnsi="Times New Roman" w:eastAsia="仿宋" w:cs="Times New Roman"/>
          <w:sz w:val="32"/>
          <w:szCs w:val="32"/>
          <w:lang w:val="en-US" w:eastAsia="zh-CN"/>
        </w:rPr>
        <w:t>二连浩特市</w:t>
      </w:r>
      <w:r>
        <w:rPr>
          <w:rFonts w:hint="default" w:ascii="Times New Roman" w:hAnsi="Times New Roman" w:eastAsia="仿宋" w:cs="Times New Roman"/>
          <w:sz w:val="32"/>
          <w:szCs w:val="32"/>
        </w:rPr>
        <w:t>认真贯彻党的十九大和十九届二中、三中、四中、五中全会精神</w:t>
      </w:r>
      <w:bookmarkStart w:id="93" w:name="_GoBack"/>
      <w:bookmarkEnd w:id="93"/>
      <w:r>
        <w:rPr>
          <w:rFonts w:hint="default" w:ascii="Times New Roman" w:hAnsi="Times New Roman" w:eastAsia="仿宋" w:cs="Times New Roman"/>
          <w:sz w:val="32"/>
          <w:szCs w:val="32"/>
        </w:rPr>
        <w:t>，积极构建</w:t>
      </w:r>
      <w:r>
        <w:rPr>
          <w:rFonts w:hint="default" w:ascii="Times New Roman" w:hAnsi="Times New Roman" w:eastAsia="仿宋" w:cs="Times New Roman"/>
          <w:sz w:val="32"/>
          <w:szCs w:val="32"/>
          <w:lang w:eastAsia="zh-CN"/>
        </w:rPr>
        <w:t>公益兜底、普惠主导、社区居家优先</w:t>
      </w:r>
      <w:r>
        <w:rPr>
          <w:rFonts w:hint="default" w:ascii="Times New Roman" w:hAnsi="Times New Roman" w:eastAsia="仿宋" w:cs="Times New Roman"/>
          <w:sz w:val="32"/>
          <w:szCs w:val="32"/>
        </w:rPr>
        <w:t>、医养康养相结合的养老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服务体系。政策体系进一步健全，资金投入不断加大。针对人口老龄化程度不断加快的现状，二连浩特市坚持“政府主导、民政牵头、部门协同、社会参与”的工作思路，健全广覆盖、多层次的社会养老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服务体系，初步形成具有口岸特色的适度普惠、服务精准、主体多元、形式多样、充满活力的养老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服务新格局，不断推动养老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服务事业健康持续发展。</w:t>
      </w:r>
      <w:bookmarkStart w:id="16" w:name="_Toc4075"/>
      <w:bookmarkStart w:id="17" w:name="_Toc25161"/>
      <w:bookmarkStart w:id="18" w:name="_Toc28160"/>
      <w:bookmarkStart w:id="19" w:name="_Toc31569"/>
    </w:p>
    <w:p w14:paraId="77EC113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1、出台政策情况</w:t>
      </w:r>
      <w:bookmarkEnd w:id="16"/>
      <w:bookmarkEnd w:id="17"/>
      <w:bookmarkEnd w:id="18"/>
      <w:bookmarkEnd w:id="19"/>
      <w:r>
        <w:rPr>
          <w:rFonts w:hint="default" w:ascii="Times New Roman" w:hAnsi="Times New Roman" w:eastAsia="仿宋" w:cs="Times New Roman"/>
          <w:b/>
          <w:bCs/>
          <w:color w:val="auto"/>
          <w:sz w:val="32"/>
          <w:szCs w:val="32"/>
          <w:lang w:val="en-US" w:eastAsia="zh-CN"/>
        </w:rPr>
        <w:t xml:space="preserve"> </w:t>
      </w:r>
    </w:p>
    <w:p w14:paraId="75B7A7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根据《中共中央国务院关于优化生育政策促进人口长期均衡发展的决定》文件要求，就“实施一对夫妻可以生育三个子女政策，并取消社会抚养费等制约措施、清理和废止相关处罚规定，配套实施积极生育支持措施”提出要求，将3岁以下婴幼儿照护费用纳入个人所得税专项附加扣除。</w:t>
      </w:r>
    </w:p>
    <w:p w14:paraId="4808A3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根据《中华人民共和国国民经济和社会发展第十四个五年规划和2035年远景目标纲要》和《国家积极应对人口老龄化中长期规划》《国务院办公厅关于促进养老托育服务健康发展的意见》（国办发〔2020〕52号）及《“十四五”积极应对人口老龄化工程和托育建设实施方案》（发改社会〔2021〕895号）、《中共中央国务院关于优化生育政策促进人口长期均衡发展的决定》，要求，结合我市实际情况，在科学研判全市人口发展形势和变动趋势的前提下，坚持政府主导的社会化运作道路，坚持问题导向，以扩大服务供给、优化发展环境、完善监管服务、健全政策体系为着力点，持续促进养老托育服务健康发展。</w:t>
      </w:r>
      <w:r>
        <w:rPr>
          <w:rFonts w:hint="default" w:ascii="Times New Roman" w:hAnsi="Times New Roman" w:eastAsia="仿宋" w:cs="Times New Roman"/>
          <w:b/>
          <w:bCs/>
          <w:color w:val="auto"/>
          <w:sz w:val="32"/>
          <w:szCs w:val="32"/>
          <w:lang w:val="en-US" w:eastAsia="zh-CN"/>
        </w:rPr>
        <w:t> </w:t>
      </w:r>
    </w:p>
    <w:p w14:paraId="7C6B809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sz w:val="32"/>
          <w:szCs w:val="32"/>
        </w:rPr>
        <w:t>创新政策保障机制，制定完善的养老政策支撑体系。结合口岸实际，制定出台二连浩特市《老龄事业发展规划》《关于加快推进养老体系建设的意见》《关于扶持民办养老机构的发展意见》等一系列规划和办法，</w:t>
      </w:r>
      <w:r>
        <w:rPr>
          <w:rFonts w:hint="default" w:ascii="Times New Roman" w:hAnsi="Times New Roman" w:eastAsia="仿宋" w:cs="Times New Roman"/>
          <w:color w:val="auto"/>
          <w:sz w:val="32"/>
          <w:szCs w:val="32"/>
        </w:rPr>
        <w:t>形成了较为完善的养老服务政策体系</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有力推动了我市养老服务业的健康发展。</w:t>
      </w:r>
    </w:p>
    <w:p w14:paraId="7FD30E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2016年，国家全面实施二孩政策后，国家、自治区先后发布促进 3 岁以下婴幼儿照护服务发展的政策文件， 提出婴幼儿照护服务要强化政府主导，将托育纳入《二连浩特市国民经济和社会发展第十四个五年规划和2035年远景目标纲要》，落实婴幼儿照护服务目标责任制考核，进一步健全完善配套措施，制定切实管用的政策措施，推进婴幼儿照护服务工作发展。</w:t>
      </w:r>
    </w:p>
    <w:p w14:paraId="67B5AD3A">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outlineLvl w:val="9"/>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服务资源情况。</w:t>
      </w:r>
    </w:p>
    <w:p w14:paraId="35CF073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rPr>
          <w:rFonts w:hint="default" w:ascii="Times New Roman" w:hAnsi="Times New Roman" w:eastAsia="仿宋" w:cs="Times New Roman"/>
          <w:color w:val="auto"/>
          <w:sz w:val="32"/>
          <w:szCs w:val="32"/>
          <w:lang w:val="zh-CN"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sz w:val="32"/>
          <w:szCs w:val="32"/>
        </w:rPr>
        <w:t>突出满足多元化需求，构建有效的养老服务供给体系。坚持“保基本、兜底线、促公平”，推动政府在养老基本公共服务中发挥主导作用，激活市场在中高端养老服务市场中的资源配置作用。加大老年群体保障，社会养老保障体系逐步建立。</w:t>
      </w:r>
      <w:r>
        <w:rPr>
          <w:rFonts w:hint="default" w:ascii="Times New Roman" w:hAnsi="Times New Roman" w:eastAsia="仿宋" w:cs="Times New Roman"/>
          <w:color w:val="auto"/>
          <w:sz w:val="32"/>
          <w:szCs w:val="32"/>
          <w:lang w:val="zh-CN" w:eastAsia="zh-CN"/>
        </w:rPr>
        <w:t>截止</w:t>
      </w:r>
      <w:r>
        <w:rPr>
          <w:rFonts w:hint="default" w:ascii="Times New Roman" w:hAnsi="Times New Roman" w:eastAsia="仿宋" w:cs="Times New Roman"/>
          <w:color w:val="auto"/>
          <w:sz w:val="32"/>
          <w:szCs w:val="32"/>
          <w:lang w:val="en-US" w:eastAsia="zh-CN"/>
        </w:rPr>
        <w:t>2020年底，</w:t>
      </w:r>
      <w:r>
        <w:rPr>
          <w:rFonts w:hint="default" w:ascii="Times New Roman" w:hAnsi="Times New Roman" w:eastAsia="仿宋" w:cs="Times New Roman"/>
          <w:color w:val="auto"/>
          <w:sz w:val="32"/>
          <w:szCs w:val="32"/>
          <w:lang w:val="zh-CN" w:eastAsia="zh-CN"/>
        </w:rPr>
        <w:t>全市投入运营的各类养老机构</w:t>
      </w:r>
      <w:r>
        <w:rPr>
          <w:rFonts w:hint="default" w:ascii="Times New Roman" w:hAnsi="Times New Roman" w:eastAsia="仿宋" w:cs="Times New Roman"/>
          <w:color w:val="auto"/>
          <w:sz w:val="32"/>
          <w:szCs w:val="32"/>
          <w:lang w:val="en-US" w:eastAsia="zh-CN"/>
        </w:rPr>
        <w:t>2所</w:t>
      </w:r>
      <w:r>
        <w:rPr>
          <w:rFonts w:hint="default" w:ascii="Times New Roman" w:hAnsi="Times New Roman" w:eastAsia="仿宋" w:cs="Times New Roman"/>
          <w:color w:val="auto"/>
          <w:sz w:val="32"/>
          <w:szCs w:val="32"/>
          <w:lang w:val="zh-CN" w:eastAsia="zh-CN"/>
        </w:rPr>
        <w:t>，其中公办</w:t>
      </w:r>
      <w:r>
        <w:rPr>
          <w:rFonts w:hint="default" w:ascii="Times New Roman" w:hAnsi="Times New Roman" w:eastAsia="仿宋" w:cs="Times New Roman"/>
          <w:color w:val="auto"/>
          <w:sz w:val="32"/>
          <w:szCs w:val="32"/>
          <w:lang w:val="en-US" w:eastAsia="zh-CN"/>
        </w:rPr>
        <w:t>1所</w:t>
      </w:r>
      <w:r>
        <w:rPr>
          <w:rFonts w:hint="default" w:ascii="Times New Roman" w:hAnsi="Times New Roman" w:eastAsia="仿宋" w:cs="Times New Roman"/>
          <w:color w:val="auto"/>
          <w:sz w:val="32"/>
          <w:szCs w:val="32"/>
          <w:lang w:val="zh-CN" w:eastAsia="zh-CN"/>
        </w:rPr>
        <w:t>、民办</w:t>
      </w:r>
      <w:r>
        <w:rPr>
          <w:rFonts w:hint="default" w:ascii="Times New Roman" w:hAnsi="Times New Roman" w:eastAsia="仿宋" w:cs="Times New Roman"/>
          <w:color w:val="auto"/>
          <w:sz w:val="32"/>
          <w:szCs w:val="32"/>
          <w:lang w:val="en-US" w:eastAsia="zh-CN"/>
        </w:rPr>
        <w:t>1所</w:t>
      </w:r>
      <w:r>
        <w:rPr>
          <w:rFonts w:hint="default" w:ascii="Times New Roman" w:hAnsi="Times New Roman" w:eastAsia="仿宋" w:cs="Times New Roman"/>
          <w:color w:val="auto"/>
          <w:sz w:val="32"/>
          <w:szCs w:val="32"/>
          <w:lang w:val="zh-CN" w:eastAsia="zh-CN"/>
        </w:rPr>
        <w:t>，养老床位</w:t>
      </w:r>
      <w:r>
        <w:rPr>
          <w:rFonts w:hint="default" w:ascii="Times New Roman" w:hAnsi="Times New Roman" w:eastAsia="仿宋" w:cs="Times New Roman"/>
          <w:color w:val="auto"/>
          <w:sz w:val="32"/>
          <w:szCs w:val="32"/>
          <w:lang w:val="en-US" w:eastAsia="zh-CN"/>
        </w:rPr>
        <w:t>140张</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护理型床位40张，护理型床位占比28.6%，城市社区日间照中心1个，</w:t>
      </w:r>
      <w:r>
        <w:rPr>
          <w:rFonts w:hint="default" w:ascii="Times New Roman" w:hAnsi="Times New Roman" w:eastAsia="仿宋" w:cs="Times New Roman"/>
          <w:color w:val="auto"/>
          <w:sz w:val="32"/>
          <w:szCs w:val="32"/>
          <w:lang w:val="zh-CN" w:eastAsia="zh-CN"/>
        </w:rPr>
        <w:t>覆盖</w:t>
      </w:r>
      <w:r>
        <w:rPr>
          <w:rFonts w:hint="default" w:ascii="Times New Roman" w:hAnsi="Times New Roman" w:eastAsia="仿宋" w:cs="Times New Roman"/>
          <w:color w:val="auto"/>
          <w:sz w:val="32"/>
          <w:szCs w:val="32"/>
          <w:lang w:val="en-US" w:eastAsia="zh-CN"/>
        </w:rPr>
        <w:t>率为50</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,农村牧区幸福互助院1个</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覆盖率为50%</w:t>
      </w:r>
      <w:r>
        <w:rPr>
          <w:rFonts w:hint="default" w:ascii="Times New Roman" w:hAnsi="Times New Roman" w:eastAsia="仿宋" w:cs="Times New Roman"/>
          <w:color w:val="auto"/>
          <w:sz w:val="32"/>
          <w:szCs w:val="32"/>
          <w:lang w:val="zh-CN" w:eastAsia="zh-CN"/>
        </w:rPr>
        <w:t>。</w:t>
      </w:r>
    </w:p>
    <w:p w14:paraId="2B5B78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firstLine="643" w:firstLineChars="200"/>
        <w:jc w:val="both"/>
        <w:textAlignment w:val="auto"/>
        <w:outlineLvl w:val="9"/>
        <w:rPr>
          <w:rStyle w:val="24"/>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截止2020年底，</w:t>
      </w:r>
      <w:r>
        <w:rPr>
          <w:rStyle w:val="24"/>
          <w:rFonts w:hint="default" w:ascii="Times New Roman" w:hAnsi="Times New Roman" w:eastAsia="仿宋" w:cs="Times New Roman"/>
          <w:b w:val="0"/>
          <w:bCs w:val="0"/>
          <w:kern w:val="2"/>
          <w:sz w:val="32"/>
          <w:szCs w:val="32"/>
          <w:lang w:val="en-US" w:eastAsia="zh-CN" w:bidi="ar-SA"/>
        </w:rPr>
        <w:t>我市已注册备案的托育机构2家，可提供最大托位200个。</w:t>
      </w:r>
    </w:p>
    <w:p w14:paraId="31577685">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outlineLvl w:val="9"/>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sz w:val="32"/>
          <w:szCs w:val="32"/>
        </w:rPr>
        <w:t>服务需求情况。</w:t>
      </w:r>
    </w:p>
    <w:p w14:paraId="1AD94DA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color w:val="auto"/>
          <w:sz w:val="32"/>
          <w:szCs w:val="32"/>
          <w:lang w:val="en-US" w:eastAsia="zh-CN"/>
        </w:rPr>
        <w:t>第七次人口普查，全市60岁以上人口为10045人，占总人口的13.25%，其中，65岁及以上人口为6145人，比重上升了5.18个百分点。经测算，到2025年，全市养老床位需求为</w:t>
      </w:r>
      <w:r>
        <w:rPr>
          <w:rFonts w:hint="default" w:ascii="Times New Roman" w:hAnsi="Times New Roman" w:eastAsia="仿宋" w:cs="Times New Roman"/>
          <w:color w:val="auto"/>
          <w:kern w:val="0"/>
          <w:sz w:val="32"/>
          <w:szCs w:val="32"/>
          <w:lang w:val="en-US" w:eastAsia="zh-CN" w:bidi="zh-CN"/>
        </w:rPr>
        <w:t>280</w:t>
      </w:r>
      <w:r>
        <w:rPr>
          <w:rFonts w:hint="default" w:ascii="Times New Roman" w:hAnsi="Times New Roman" w:eastAsia="仿宋" w:cs="Times New Roman"/>
          <w:color w:val="auto"/>
          <w:sz w:val="32"/>
          <w:szCs w:val="32"/>
          <w:lang w:val="en-US" w:eastAsia="zh-CN"/>
        </w:rPr>
        <w:t>张以上，需新增养老床位140张以上、新增护理型床位</w:t>
      </w:r>
      <w:r>
        <w:rPr>
          <w:rFonts w:hint="default" w:ascii="Times New Roman" w:hAnsi="Times New Roman" w:eastAsia="仿宋" w:cs="Times New Roman"/>
          <w:color w:val="auto"/>
          <w:kern w:val="0"/>
          <w:sz w:val="32"/>
          <w:szCs w:val="32"/>
          <w:lang w:val="en-US" w:eastAsia="zh-CN" w:bidi="zh-CN"/>
        </w:rPr>
        <w:t>114</w:t>
      </w:r>
      <w:r>
        <w:rPr>
          <w:rFonts w:hint="default" w:ascii="Times New Roman" w:hAnsi="Times New Roman" w:eastAsia="仿宋" w:cs="Times New Roman"/>
          <w:color w:val="auto"/>
          <w:sz w:val="32"/>
          <w:szCs w:val="32"/>
          <w:lang w:val="en-US" w:eastAsia="zh-CN"/>
        </w:rPr>
        <w:t>张以上。</w:t>
      </w:r>
    </w:p>
    <w:p w14:paraId="5666AC92">
      <w:pPr>
        <w:pStyle w:val="11"/>
        <w:keepNext w:val="0"/>
        <w:keepLines w:val="0"/>
        <w:pageBreakBefore w:val="0"/>
        <w:numPr>
          <w:ilvl w:val="0"/>
          <w:numId w:val="0"/>
        </w:numPr>
        <w:kinsoku/>
        <w:wordWrap/>
        <w:overflowPunct/>
        <w:topLinePunct w:val="0"/>
        <w:bidi w:val="0"/>
        <w:adjustRightInd/>
        <w:snapToGrid/>
        <w:spacing w:line="360" w:lineRule="auto"/>
        <w:ind w:firstLine="64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截止2020年底，二连市</w:t>
      </w:r>
      <w:r>
        <w:rPr>
          <w:rFonts w:hint="default" w:ascii="Times New Roman" w:hAnsi="Times New Roman" w:eastAsia="仿宋" w:cs="Times New Roman"/>
          <w:color w:val="auto"/>
          <w:sz w:val="32"/>
          <w:szCs w:val="32"/>
          <w:lang w:val="zh-CN" w:eastAsia="zh-CN"/>
        </w:rPr>
        <w:t>0-3岁婴幼儿</w:t>
      </w:r>
      <w:r>
        <w:rPr>
          <w:rFonts w:hint="default" w:ascii="Times New Roman" w:hAnsi="Times New Roman" w:eastAsia="仿宋" w:cs="Times New Roman"/>
          <w:color w:val="auto"/>
          <w:sz w:val="32"/>
          <w:szCs w:val="32"/>
          <w:lang w:val="en-US" w:eastAsia="zh-CN"/>
        </w:rPr>
        <w:t>1981人</w:t>
      </w:r>
      <w:r>
        <w:rPr>
          <w:rFonts w:hint="default" w:ascii="Times New Roman" w:hAnsi="Times New Roman" w:eastAsia="仿宋" w:cs="Times New Roman"/>
          <w:color w:val="auto"/>
          <w:sz w:val="32"/>
          <w:szCs w:val="32"/>
          <w:lang w:val="zh-CN" w:eastAsia="zh-CN"/>
        </w:rPr>
        <w:t>，占总人口的</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64</w:t>
      </w:r>
      <w:r>
        <w:rPr>
          <w:rFonts w:hint="default" w:ascii="Times New Roman" w:hAnsi="Times New Roman" w:eastAsia="仿宋" w:cs="Times New Roman"/>
          <w:color w:val="auto"/>
          <w:sz w:val="32"/>
          <w:szCs w:val="32"/>
          <w:lang w:val="zh-CN" w:eastAsia="zh-CN"/>
        </w:rPr>
        <w:t>%，预计到202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zh-CN" w:eastAsia="zh-CN"/>
        </w:rPr>
        <w:t>年0-3岁婴幼儿将达到</w:t>
      </w:r>
      <w:r>
        <w:rPr>
          <w:rFonts w:hint="default" w:ascii="Times New Roman" w:hAnsi="Times New Roman" w:eastAsia="仿宋" w:cs="Times New Roman"/>
          <w:color w:val="auto"/>
          <w:sz w:val="32"/>
          <w:szCs w:val="32"/>
          <w:lang w:val="en-US" w:eastAsia="zh-CN"/>
        </w:rPr>
        <w:t>2200人</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经调查，我市有超过60</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lang w:val="en-US" w:eastAsia="zh-CN"/>
        </w:rPr>
        <w:t>的家长有婴幼儿照护服务需求。当前，我市婴幼儿照护服务仍处于起步阶段，托育机构数量不足、分布不均衡、托位供给不足，难以满足婴幼儿照护服务需求。</w:t>
      </w:r>
      <w:r>
        <w:rPr>
          <w:rStyle w:val="24"/>
          <w:rFonts w:hint="default" w:ascii="Times New Roman" w:hAnsi="Times New Roman" w:eastAsia="仿宋" w:cs="Times New Roman"/>
          <w:b w:val="0"/>
          <w:bCs w:val="0"/>
          <w:kern w:val="2"/>
          <w:sz w:val="32"/>
          <w:szCs w:val="32"/>
          <w:lang w:val="en-US" w:eastAsia="zh-CN" w:bidi="ar-SA"/>
        </w:rPr>
        <w:t>到2025年，全市50%以上的社区能够提供托育服务，全市能够提供的托位数力争达600个以上、每千人托位数达到8个以上。</w:t>
      </w:r>
    </w:p>
    <w:p w14:paraId="6C38D59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产业发展情况。</w:t>
      </w:r>
    </w:p>
    <w:p w14:paraId="17CEA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sz w:val="32"/>
          <w:szCs w:val="32"/>
        </w:rPr>
        <w:t>积极引进聚祥福养老服务中心项目落户口岸，用政策杠杆推动社会力量创办养老机构，完善养老服务体系，将养老服务业打造成朝阳产业，成为调结构、惠民生、促升级的重要力量。</w:t>
      </w:r>
    </w:p>
    <w:p w14:paraId="6D2002EA">
      <w:pPr>
        <w:pStyle w:val="11"/>
        <w:keepNext w:val="0"/>
        <w:keepLines w:val="0"/>
        <w:pageBreakBefore w:val="0"/>
        <w:numPr>
          <w:ilvl w:val="0"/>
          <w:numId w:val="0"/>
        </w:numPr>
        <w:kinsoku/>
        <w:wordWrap/>
        <w:overflowPunct/>
        <w:topLinePunct w:val="0"/>
        <w:bidi w:val="0"/>
        <w:adjustRightInd/>
        <w:snapToGrid/>
        <w:spacing w:line="360" w:lineRule="auto"/>
        <w:ind w:firstLine="640"/>
        <w:textAlignment w:val="auto"/>
        <w:rPr>
          <w:rStyle w:val="24"/>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 xml:space="preserve">我市以实施全国普惠托育服务专项行动为抓手，积极探索“幼儿园延伸办”“社区小区配套办”的供给模式，初步构建形成了政府引导、社会参与、公办民办并举的多元化格局。 </w:t>
      </w:r>
      <w:bookmarkStart w:id="20" w:name="_Toc4951"/>
      <w:bookmarkStart w:id="21" w:name="_Toc20274"/>
      <w:bookmarkStart w:id="22" w:name="_Toc32420"/>
      <w:bookmarkStart w:id="23" w:name="_Toc14335"/>
    </w:p>
    <w:bookmarkEnd w:id="20"/>
    <w:bookmarkEnd w:id="21"/>
    <w:bookmarkEnd w:id="22"/>
    <w:bookmarkEnd w:id="23"/>
    <w:p w14:paraId="39C5FC0C">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zh-CN" w:eastAsia="zh-CN"/>
        </w:rPr>
      </w:pPr>
      <w:bookmarkStart w:id="24" w:name="_Toc4388"/>
      <w:bookmarkStart w:id="25" w:name="_Toc19313"/>
      <w:bookmarkStart w:id="26" w:name="_Toc9365"/>
      <w:bookmarkStart w:id="27" w:name="_Toc20329"/>
      <w:bookmarkStart w:id="28" w:name="_Toc1418"/>
      <w:r>
        <w:rPr>
          <w:rFonts w:hint="default" w:ascii="Times New Roman" w:hAnsi="Times New Roman" w:eastAsia="仿宋" w:cs="Times New Roman"/>
          <w:b/>
          <w:bCs/>
          <w:color w:val="auto"/>
          <w:sz w:val="32"/>
          <w:szCs w:val="32"/>
          <w:lang w:val="zh-CN" w:eastAsia="zh-CN"/>
        </w:rPr>
        <w:t>发展趋势</w:t>
      </w:r>
      <w:bookmarkEnd w:id="24"/>
      <w:bookmarkEnd w:id="25"/>
      <w:bookmarkEnd w:id="26"/>
      <w:bookmarkEnd w:id="27"/>
    </w:p>
    <w:p w14:paraId="3B6003E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从“一老”方面来看，</w:t>
      </w:r>
      <w:r>
        <w:rPr>
          <w:rFonts w:hint="default" w:ascii="Times New Roman" w:hAnsi="Times New Roman" w:eastAsia="仿宋" w:cs="Times New Roman"/>
          <w:b w:val="0"/>
          <w:bCs w:val="0"/>
          <w:color w:val="auto"/>
          <w:sz w:val="32"/>
          <w:szCs w:val="32"/>
          <w:lang w:val="en-US" w:eastAsia="zh-CN"/>
        </w:rPr>
        <w:t>养老服务的供需矛盾逐步显现。随着全市老龄化趋势不断加速，老年人口中的高龄化和失能化的比例也在逐年增加，一方面社会和家庭赡养负担在不断加大，另一方面需要政府兜底保障的对象不断增多。与此同时，养老服务的有效供给不足、发展不平衡不充分、专业护理人才紧缺等问题更加凸显，失能老年人照护、残疾预防和康复等领域的任务越来越艰巨。为此</w:t>
      </w:r>
      <w:r>
        <w:rPr>
          <w:rFonts w:hint="default" w:ascii="Times New Roman" w:hAnsi="Times New Roman" w:eastAsia="仿宋" w:cs="Times New Roman"/>
          <w:sz w:val="32"/>
          <w:szCs w:val="32"/>
        </w:rPr>
        <w:t>积极发展社区养老服务，根据我市城市布局，城区面积相对较小的实际，基础设施相对完善的社区建设2个具备综合功能社区养老服务站，服务辐射全市8个社区，在“十四五”期间做到全覆盖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降低公办养老机构</w:t>
      </w:r>
      <w:r>
        <w:rPr>
          <w:rFonts w:hint="default" w:ascii="Times New Roman" w:hAnsi="Times New Roman" w:eastAsia="仿宋" w:cs="Times New Roman"/>
          <w:sz w:val="32"/>
          <w:szCs w:val="32"/>
        </w:rPr>
        <w:t>床位空置率、普通型养老床位空置率，</w:t>
      </w:r>
      <w:r>
        <w:rPr>
          <w:rFonts w:hint="default" w:ascii="Times New Roman" w:hAnsi="Times New Roman" w:eastAsia="仿宋" w:cs="Times New Roman"/>
          <w:sz w:val="32"/>
          <w:szCs w:val="32"/>
          <w:lang w:val="en-US" w:eastAsia="zh-CN"/>
        </w:rPr>
        <w:t>增加</w:t>
      </w:r>
      <w:r>
        <w:rPr>
          <w:rFonts w:hint="default" w:ascii="Times New Roman" w:hAnsi="Times New Roman" w:eastAsia="仿宋" w:cs="Times New Roman"/>
          <w:sz w:val="32"/>
          <w:szCs w:val="32"/>
        </w:rPr>
        <w:t>护理型养老床位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满足老年人就近就便、原居安养的长期照护需求。</w:t>
      </w:r>
    </w:p>
    <w:p w14:paraId="408EB5C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从“一小”方面来看，</w:t>
      </w:r>
      <w:r>
        <w:rPr>
          <w:rFonts w:hint="default" w:ascii="Times New Roman" w:hAnsi="Times New Roman" w:eastAsia="仿宋" w:cs="Times New Roman"/>
          <w:color w:val="auto"/>
          <w:sz w:val="32"/>
          <w:szCs w:val="32"/>
          <w:lang w:val="en-US" w:eastAsia="zh-CN"/>
        </w:rPr>
        <w:t>“三孩”政策公布后，“养育成本高”、“没时间”、“没人照顾”成为社会广泛议论的“不愿生”“不敢生”的主要原因。</w:t>
      </w:r>
    </w:p>
    <w:bookmarkEnd w:id="28"/>
    <w:p w14:paraId="1BB53C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问题突出体现在总量不足和结构不平衡并存。</w:t>
      </w:r>
      <w:r>
        <w:rPr>
          <w:rFonts w:hint="default" w:ascii="Times New Roman" w:hAnsi="Times New Roman" w:eastAsia="仿宋" w:cs="Times New Roman"/>
          <w:b/>
          <w:bCs/>
          <w:color w:val="auto"/>
          <w:sz w:val="32"/>
          <w:szCs w:val="32"/>
          <w:lang w:val="en-US" w:eastAsia="zh-CN"/>
        </w:rPr>
        <w:t xml:space="preserve"> “一小”方面发展不平衡</w:t>
      </w:r>
      <w:r>
        <w:rPr>
          <w:rFonts w:hint="default" w:ascii="Times New Roman" w:hAnsi="Times New Roman" w:eastAsia="仿宋" w:cs="Times New Roman"/>
          <w:color w:val="auto"/>
          <w:sz w:val="32"/>
          <w:szCs w:val="32"/>
          <w:lang w:val="en-US" w:eastAsia="zh-CN"/>
        </w:rPr>
        <w:t xml:space="preserve">，2020年全市已注册备案营利性托育机构2个，公立机构0。政府性投入存在空缺。 </w:t>
      </w:r>
    </w:p>
    <w:p w14:paraId="25B7C5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目前，我市</w:t>
      </w:r>
      <w:r>
        <w:rPr>
          <w:rFonts w:hint="eastAsia" w:eastAsia="仿宋" w:cs="Times New Roman"/>
          <w:sz w:val="32"/>
          <w:szCs w:val="32"/>
          <w:lang w:val="en-US" w:eastAsia="zh-CN"/>
        </w:rPr>
        <w:t>常住人口</w:t>
      </w:r>
      <w:r>
        <w:rPr>
          <w:rFonts w:hint="default" w:ascii="Times New Roman" w:hAnsi="Times New Roman" w:eastAsia="仿宋" w:cs="Times New Roman"/>
          <w:sz w:val="32"/>
          <w:szCs w:val="32"/>
          <w:lang w:val="en-US" w:eastAsia="zh-CN"/>
        </w:rPr>
        <w:t>约7.3万人，其中户籍人口3.2万人，作为口岸城市，人口流动量较大，不确定因素较多。就目前而言，</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问题突出体现在总量不足和结构不平衡并存。政府性普惠托育服务机构仍为空白，需进一步加强，补足短板。我市现有养老机构已满足当前需求，但是缺少超前布局，面对日趋严峻的老龄化趋势，现有床位将不能满足未来需求，亟需引入更大的社会力量来支撑。</w:t>
      </w:r>
      <w:r>
        <w:rPr>
          <w:rFonts w:hint="default" w:ascii="Times New Roman" w:hAnsi="Times New Roman" w:eastAsia="仿宋" w:cs="Times New Roman"/>
          <w:color w:val="auto"/>
          <w:sz w:val="32"/>
          <w:szCs w:val="32"/>
          <w:lang w:val="en-US" w:eastAsia="zh-CN" w:bidi="zh-CN"/>
        </w:rPr>
        <w:t>解决“一老一小”问题关系共同富裕目标的实现，是人民群众美好生活需要的重要组成部分，是最现实、最紧迫、最突出的民生问题。</w:t>
      </w:r>
      <w:bookmarkStart w:id="29" w:name="_Toc4268"/>
      <w:bookmarkStart w:id="30" w:name="_Toc20072"/>
      <w:bookmarkStart w:id="31" w:name="_Toc8000"/>
      <w:bookmarkStart w:id="32" w:name="_Toc1558"/>
      <w:bookmarkStart w:id="33" w:name="_Toc19975"/>
      <w:bookmarkStart w:id="34" w:name="_Toc22948"/>
    </w:p>
    <w:p w14:paraId="281EF4C3">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发展思路</w:t>
      </w:r>
    </w:p>
    <w:p w14:paraId="4473C5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照国家工作部署，以规划引领和政策引导为重点，以强化监管和壮大产业为关键，围绕养老托育服务普惠化便民化，加快发展我市养老托育服务事业和产业，力争成功创建全国儿童友好示范城市、全国婴幼儿照护示范城市、国家积极应对人口老龄化重点联系城市，为我市养老托育难题破解提供机遇、创造条件，为国家层面提供可供示范推广的做法和经验。</w:t>
      </w:r>
    </w:p>
    <w:p w14:paraId="4253DB69">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发展原则</w:t>
      </w:r>
    </w:p>
    <w:p w14:paraId="73D15A0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1.坚持公益兜牢底线，普惠主导发展。</w:t>
      </w:r>
      <w:r>
        <w:rPr>
          <w:rFonts w:hint="default" w:ascii="Times New Roman" w:hAnsi="Times New Roman" w:eastAsia="仿宋" w:cs="Times New Roman"/>
          <w:color w:val="auto"/>
          <w:sz w:val="32"/>
          <w:szCs w:val="32"/>
          <w:lang w:val="en-US" w:eastAsia="zh-CN"/>
        </w:rPr>
        <w:t>落实政府保基本兜底线职能，织牢扎密困难群体和特殊群体服务网底，做到明确目标群体、测算缺口短板、优化保障方案。</w:t>
      </w:r>
    </w:p>
    <w:p w14:paraId="543B66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2.坚持政策倾斜支持，市场协同发展。</w:t>
      </w:r>
      <w:r>
        <w:rPr>
          <w:rFonts w:hint="default" w:ascii="Times New Roman" w:hAnsi="Times New Roman" w:eastAsia="仿宋" w:cs="Times New Roman"/>
          <w:color w:val="auto"/>
          <w:sz w:val="32"/>
          <w:szCs w:val="32"/>
          <w:lang w:val="en-US" w:eastAsia="zh-CN"/>
        </w:rPr>
        <w:t>政府主要做好优化营商环境，深化“放管服”改革，出台政策措施给予倾斜支持，确保托底型养老、扩大普惠型养老、支持社会化养老，积极引导和培育养老托育新业态新模式不断发展。</w:t>
      </w:r>
    </w:p>
    <w:p w14:paraId="3EAE122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3.坚持监管力度不松，确保不出偏差。</w:t>
      </w:r>
      <w:r>
        <w:rPr>
          <w:rFonts w:hint="default" w:ascii="Times New Roman" w:hAnsi="Times New Roman" w:eastAsia="仿宋" w:cs="Times New Roman"/>
          <w:color w:val="auto"/>
          <w:sz w:val="32"/>
          <w:szCs w:val="32"/>
          <w:lang w:val="en-US" w:eastAsia="zh-CN"/>
        </w:rPr>
        <w:t>对养老机构，特别是市场化和普惠养老的监管，政府务必要担责负责、履职尽责，要对“一老一小”这类群体相关的服务质量监管始终保持力度不松。</w:t>
      </w:r>
    </w:p>
    <w:p w14:paraId="2C019383">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0"/>
        <w:rPr>
          <w:rFonts w:hint="default" w:ascii="Times New Roman" w:hAnsi="Times New Roman" w:eastAsia="仿宋" w:cs="Times New Roman"/>
          <w:b/>
          <w:bCs/>
          <w:color w:val="auto"/>
          <w:sz w:val="32"/>
          <w:szCs w:val="32"/>
          <w:lang w:eastAsia="zh-CN"/>
        </w:rPr>
      </w:pPr>
      <w:bookmarkStart w:id="35" w:name="_Toc6735"/>
      <w:bookmarkStart w:id="36" w:name="_Toc26380"/>
      <w:r>
        <w:rPr>
          <w:rFonts w:hint="default" w:ascii="Times New Roman" w:hAnsi="Times New Roman" w:eastAsia="仿宋" w:cs="Times New Roman"/>
          <w:b/>
          <w:bCs/>
          <w:color w:val="auto"/>
          <w:sz w:val="32"/>
          <w:szCs w:val="32"/>
          <w:lang w:eastAsia="zh-CN"/>
        </w:rPr>
        <w:t>二、</w:t>
      </w:r>
      <w:bookmarkEnd w:id="29"/>
      <w:r>
        <w:rPr>
          <w:rFonts w:hint="default" w:ascii="Times New Roman" w:hAnsi="Times New Roman" w:eastAsia="仿宋" w:cs="Times New Roman"/>
          <w:b/>
          <w:bCs/>
          <w:color w:val="auto"/>
          <w:sz w:val="32"/>
          <w:szCs w:val="32"/>
          <w:lang w:eastAsia="zh-CN"/>
        </w:rPr>
        <w:t>发展目标</w:t>
      </w:r>
      <w:bookmarkEnd w:id="30"/>
      <w:bookmarkEnd w:id="31"/>
      <w:bookmarkEnd w:id="32"/>
      <w:bookmarkEnd w:id="33"/>
      <w:bookmarkEnd w:id="34"/>
      <w:bookmarkEnd w:id="35"/>
      <w:bookmarkEnd w:id="36"/>
      <w:bookmarkStart w:id="37" w:name="_Toc28356"/>
      <w:bookmarkStart w:id="38" w:name="_Toc8822"/>
      <w:bookmarkStart w:id="39" w:name="_Toc28551"/>
      <w:bookmarkStart w:id="40" w:name="_Toc5321"/>
      <w:bookmarkStart w:id="41" w:name="_Toc16860"/>
      <w:bookmarkStart w:id="42" w:name="_Toc29408"/>
    </w:p>
    <w:p w14:paraId="19BBF36A">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43" w:name="_Toc5152"/>
      <w:bookmarkStart w:id="44" w:name="_Toc19838"/>
      <w:r>
        <w:rPr>
          <w:rFonts w:hint="default" w:ascii="Times New Roman" w:hAnsi="Times New Roman" w:eastAsia="仿宋" w:cs="Times New Roman"/>
          <w:b/>
          <w:bCs/>
          <w:color w:val="auto"/>
          <w:sz w:val="32"/>
          <w:szCs w:val="32"/>
          <w:lang w:val="en-US" w:eastAsia="zh-CN"/>
        </w:rPr>
        <w:t>（一）整体目标</w:t>
      </w:r>
      <w:bookmarkEnd w:id="37"/>
      <w:bookmarkEnd w:id="38"/>
      <w:bookmarkEnd w:id="43"/>
      <w:bookmarkEnd w:id="44"/>
    </w:p>
    <w:p w14:paraId="6E7CDC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到</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十四五</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末，</w:t>
      </w:r>
      <w:r>
        <w:rPr>
          <w:rFonts w:hint="default" w:ascii="Times New Roman" w:hAnsi="Times New Roman" w:eastAsia="仿宋" w:cs="Times New Roman"/>
          <w:sz w:val="32"/>
          <w:szCs w:val="32"/>
          <w:lang w:val="en-US" w:eastAsia="zh-CN"/>
        </w:rPr>
        <w:t>全市</w:t>
      </w:r>
      <w:r>
        <w:rPr>
          <w:rFonts w:hint="default" w:ascii="Times New Roman" w:hAnsi="Times New Roman" w:eastAsia="仿宋" w:cs="Times New Roman"/>
          <w:sz w:val="32"/>
          <w:szCs w:val="32"/>
        </w:rPr>
        <w:t>基本建成以居家社区机构相协调、医养康养相结合的养老服务体系。养老机构床位结构日趋合理，护理型床位在机构床位数的占比不低于55%；加强敬老院升级转型和</w:t>
      </w:r>
      <w:r>
        <w:rPr>
          <w:rFonts w:hint="default" w:ascii="Times New Roman" w:hAnsi="Times New Roman" w:eastAsia="仿宋" w:cs="Times New Roman"/>
          <w:sz w:val="32"/>
          <w:szCs w:val="32"/>
          <w:lang w:eastAsia="zh-CN"/>
        </w:rPr>
        <w:t>格苏木</w:t>
      </w:r>
      <w:r>
        <w:rPr>
          <w:rFonts w:hint="default" w:ascii="Times New Roman" w:hAnsi="Times New Roman" w:eastAsia="仿宋" w:cs="Times New Roman"/>
          <w:sz w:val="32"/>
          <w:szCs w:val="32"/>
        </w:rPr>
        <w:t>养老服务中心建设，</w:t>
      </w:r>
      <w:r>
        <w:rPr>
          <w:rFonts w:hint="default" w:ascii="Times New Roman" w:hAnsi="Times New Roman" w:eastAsia="仿宋" w:cs="Times New Roman"/>
          <w:sz w:val="32"/>
          <w:szCs w:val="32"/>
          <w:lang w:val="en-US" w:eastAsia="zh-CN"/>
        </w:rPr>
        <w:t>牧区</w:t>
      </w:r>
      <w:r>
        <w:rPr>
          <w:rFonts w:hint="default" w:ascii="Times New Roman" w:hAnsi="Times New Roman" w:eastAsia="仿宋" w:cs="Times New Roman"/>
          <w:sz w:val="32"/>
          <w:szCs w:val="32"/>
        </w:rPr>
        <w:t>养老服务中心覆盖率总体达到50%；社区养老服务设施建设不断增强，到2022年，建成</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所社区</w:t>
      </w:r>
      <w:r>
        <w:rPr>
          <w:rFonts w:hint="default" w:ascii="Times New Roman" w:hAnsi="Times New Roman" w:eastAsia="仿宋" w:cs="Times New Roman"/>
          <w:sz w:val="32"/>
          <w:szCs w:val="32"/>
          <w:lang w:val="en-US" w:eastAsia="zh-CN"/>
        </w:rPr>
        <w:t>居家</w:t>
      </w:r>
      <w:r>
        <w:rPr>
          <w:rFonts w:hint="default" w:ascii="Times New Roman" w:hAnsi="Times New Roman" w:eastAsia="仿宋" w:cs="Times New Roman"/>
          <w:sz w:val="32"/>
          <w:szCs w:val="32"/>
        </w:rPr>
        <w:t>养老服务</w:t>
      </w:r>
      <w:r>
        <w:rPr>
          <w:rFonts w:hint="default" w:ascii="Times New Roman" w:hAnsi="Times New Roman" w:eastAsia="仿宋" w:cs="Times New Roman"/>
          <w:sz w:val="32"/>
          <w:szCs w:val="32"/>
          <w:lang w:val="en-US" w:eastAsia="zh-CN"/>
        </w:rPr>
        <w:t>站，</w:t>
      </w:r>
      <w:r>
        <w:rPr>
          <w:rFonts w:hint="default" w:ascii="Times New Roman" w:hAnsi="Times New Roman" w:eastAsia="仿宋" w:cs="Times New Roman"/>
          <w:sz w:val="32"/>
          <w:szCs w:val="32"/>
        </w:rPr>
        <w:t>覆盖率达到</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0%；到</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sz w:val="32"/>
          <w:szCs w:val="32"/>
        </w:rPr>
        <w:t>十四五</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末，老旧城区、已建成居住（小）区按照标准逐步补齐社区养老服务设施。推动养老服务体系更加健全，医养保障能力显著提升，产业发展更具活力，综合监管不断强化。</w:t>
      </w:r>
    </w:p>
    <w:p w14:paraId="50D89D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color w:val="auto"/>
          <w:sz w:val="32"/>
          <w:szCs w:val="32"/>
          <w:lang w:val="en-US" w:eastAsia="zh-CN" w:bidi="zh-CN"/>
        </w:rPr>
        <w:t>全市托育服务供给逐步增加和普惠范围不断扩大，公办托育机构兜底保障功能进一步夯实，婴幼儿照护服务机构持续增加。全市至少建成一所公立性功能健全、设施配套完善、具有典型示范效应的婴幼儿托育服务机构，创建自治区级婴幼儿托育服务示范机构2个以上，争创全国婴幼儿照护服务示范城市。婴幼儿照护服务资源配置合理，婴幼儿照护服务制度保障体系进一步健全，多元化、多样化、覆盖城乡的婴幼儿照护服务供给体系基本形成，婴幼儿照护服务水平明显提升，符合条件的托育机构全面备案，每千人口拥有3岁以下婴幼儿托位数达到8个，人民群众的婴幼儿照护服务需求得到进一步满足。</w:t>
      </w:r>
      <w:r>
        <w:rPr>
          <w:rFonts w:hint="default" w:ascii="Times New Roman" w:hAnsi="Times New Roman" w:eastAsia="仿宋" w:cs="Times New Roman"/>
          <w:sz w:val="32"/>
          <w:szCs w:val="32"/>
          <w:lang w:val="en-US" w:eastAsia="zh-CN"/>
        </w:rPr>
        <w:t>我市将利用口岸城市人口流动量大的特点，扶持培育旅居养老服务机构，提高养老生活品质，丰富生活内容，建立旅居互助圈，与南方特色旅居城市养老机构签订合作协议，实现资源共享。</w:t>
      </w:r>
    </w:p>
    <w:p w14:paraId="144CB042">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bookmarkStart w:id="45" w:name="_Toc20926"/>
      <w:r>
        <w:rPr>
          <w:rFonts w:hint="default" w:ascii="Times New Roman" w:hAnsi="Times New Roman" w:eastAsia="仿宋" w:cs="Times New Roman"/>
          <w:b/>
          <w:bCs/>
          <w:color w:val="auto"/>
          <w:sz w:val="32"/>
          <w:szCs w:val="32"/>
          <w:lang w:val="en-US" w:eastAsia="zh-CN" w:bidi="zh-CN"/>
        </w:rPr>
        <w:t>兜底性养老托育服务更有保障。</w:t>
      </w:r>
      <w:r>
        <w:rPr>
          <w:rFonts w:hint="default" w:ascii="Times New Roman" w:hAnsi="Times New Roman" w:eastAsia="仿宋" w:cs="Times New Roman"/>
          <w:color w:val="auto"/>
          <w:sz w:val="32"/>
          <w:szCs w:val="32"/>
          <w:lang w:val="en-US" w:eastAsia="zh-CN" w:bidi="zh-CN"/>
        </w:rPr>
        <w:t xml:space="preserve"> 兜底托育服务范围和资金保障举措进一步健全，逐步将托育服务纳入基本公共服务范畴。</w:t>
      </w:r>
    </w:p>
    <w:p w14:paraId="39700DCF">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b/>
          <w:bCs/>
          <w:color w:val="auto"/>
          <w:sz w:val="32"/>
          <w:szCs w:val="32"/>
          <w:lang w:val="en-US" w:eastAsia="zh-CN" w:bidi="zh-CN"/>
        </w:rPr>
        <w:t>普惠性养老托育服务质量逐渐提升。</w:t>
      </w:r>
      <w:r>
        <w:rPr>
          <w:rFonts w:hint="default" w:ascii="Times New Roman" w:hAnsi="Times New Roman" w:eastAsia="仿宋" w:cs="Times New Roman"/>
          <w:color w:val="auto"/>
          <w:sz w:val="32"/>
          <w:szCs w:val="32"/>
          <w:lang w:val="en-US" w:eastAsia="zh-CN" w:bidi="zh-CN"/>
        </w:rPr>
        <w:t>普惠性养老托育服务供给进一步增加，服务数量和质量都得到较大提升，服务内容更加丰富、获取方式更加便捷、供给主体更加多元，服务价格更为合理、质量有保障、安全有监管，服务体验不断改善。</w:t>
      </w:r>
    </w:p>
    <w:p w14:paraId="5C0927B6">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b/>
          <w:bCs/>
          <w:color w:val="auto"/>
          <w:sz w:val="32"/>
          <w:szCs w:val="32"/>
          <w:lang w:val="en-US" w:eastAsia="zh-CN" w:bidi="zh-CN"/>
        </w:rPr>
        <w:t>高品质多样化养老托育服务快速发展。</w:t>
      </w:r>
      <w:r>
        <w:rPr>
          <w:rFonts w:hint="default" w:ascii="Times New Roman" w:hAnsi="Times New Roman" w:eastAsia="仿宋" w:cs="Times New Roman"/>
          <w:color w:val="auto"/>
          <w:sz w:val="32"/>
          <w:szCs w:val="32"/>
          <w:lang w:val="en-US" w:eastAsia="zh-CN" w:bidi="zh-CN"/>
        </w:rPr>
        <w:t>满足人民群众多样化、个性化、高品质的养老托育服务需求，在政府保基本、多元促普惠的基础上，推进养老托育服务标准化、品牌化建设。</w:t>
      </w:r>
    </w:p>
    <w:p w14:paraId="7898DEA2">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46" w:name="_Toc11908"/>
      <w:bookmarkStart w:id="47" w:name="_Toc20254"/>
      <w:bookmarkStart w:id="48" w:name="_Toc7274"/>
      <w:r>
        <w:rPr>
          <w:rFonts w:hint="default" w:ascii="Times New Roman" w:hAnsi="Times New Roman" w:eastAsia="仿宋" w:cs="Times New Roman"/>
          <w:b/>
          <w:bCs/>
          <w:color w:val="auto"/>
          <w:sz w:val="32"/>
          <w:szCs w:val="32"/>
          <w:lang w:val="en-US" w:eastAsia="zh-CN"/>
        </w:rPr>
        <w:t>具体指标</w:t>
      </w:r>
      <w:bookmarkEnd w:id="45"/>
      <w:bookmarkEnd w:id="46"/>
      <w:bookmarkEnd w:id="47"/>
      <w:bookmarkEnd w:id="48"/>
      <w:bookmarkStart w:id="49" w:name="_Toc23855"/>
    </w:p>
    <w:p w14:paraId="2E24C38C">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outlineLvl w:val="1"/>
        <w:rPr>
          <w:rFonts w:hint="default" w:ascii="Times New Roman" w:hAnsi="Times New Roman" w:eastAsia="黑体" w:cs="Times New Roman"/>
          <w:b/>
          <w:bCs/>
          <w:color w:val="auto"/>
        </w:rPr>
      </w:pPr>
      <w:bookmarkStart w:id="50" w:name="_Toc14609"/>
      <w:bookmarkStart w:id="51" w:name="_Toc27844"/>
      <w:r>
        <w:rPr>
          <w:rFonts w:hint="default" w:ascii="Times New Roman" w:hAnsi="Times New Roman" w:eastAsia="黑体" w:cs="Times New Roman"/>
          <w:b/>
          <w:bCs/>
          <w:color w:val="auto"/>
          <w:sz w:val="36"/>
          <w:szCs w:val="36"/>
          <w:lang w:eastAsia="zh-CN"/>
        </w:rPr>
        <w:t>“</w:t>
      </w:r>
      <w:r>
        <w:rPr>
          <w:rFonts w:hint="default" w:ascii="Times New Roman" w:hAnsi="Times New Roman" w:eastAsia="黑体" w:cs="Times New Roman"/>
          <w:b/>
          <w:bCs/>
          <w:color w:val="auto"/>
          <w:sz w:val="36"/>
          <w:szCs w:val="36"/>
          <w:lang w:val="en-US" w:eastAsia="zh-CN"/>
        </w:rPr>
        <w:t>一老一小</w:t>
      </w:r>
      <w:r>
        <w:rPr>
          <w:rFonts w:hint="default" w:ascii="Times New Roman" w:hAnsi="Times New Roman" w:eastAsia="黑体" w:cs="Times New Roman"/>
          <w:b/>
          <w:bCs/>
          <w:color w:val="auto"/>
          <w:sz w:val="36"/>
          <w:szCs w:val="36"/>
          <w:lang w:eastAsia="zh-CN"/>
        </w:rPr>
        <w:t>”</w:t>
      </w:r>
      <w:r>
        <w:rPr>
          <w:rFonts w:hint="default" w:ascii="Times New Roman" w:hAnsi="Times New Roman" w:eastAsia="黑体" w:cs="Times New Roman"/>
          <w:b/>
          <w:bCs/>
          <w:color w:val="auto"/>
          <w:sz w:val="36"/>
          <w:szCs w:val="36"/>
          <w:lang w:val="en-US" w:eastAsia="zh-CN"/>
        </w:rPr>
        <w:t>发展重点</w:t>
      </w:r>
      <w:r>
        <w:rPr>
          <w:rFonts w:hint="default" w:ascii="Times New Roman" w:hAnsi="Times New Roman" w:eastAsia="黑体" w:cs="Times New Roman"/>
          <w:b/>
          <w:bCs/>
          <w:color w:val="auto"/>
          <w:sz w:val="36"/>
          <w:szCs w:val="36"/>
        </w:rPr>
        <w:t>指标</w:t>
      </w:r>
      <w:bookmarkEnd w:id="50"/>
      <w:bookmarkEnd w:id="51"/>
    </w:p>
    <w:tbl>
      <w:tblPr>
        <w:tblStyle w:val="16"/>
        <w:tblpPr w:leftFromText="180" w:rightFromText="180" w:vertAnchor="text" w:horzAnchor="page" w:tblpX="1607" w:tblpY="879"/>
        <w:tblOverlap w:val="never"/>
        <w:tblW w:w="9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3567"/>
        <w:gridCol w:w="1000"/>
        <w:gridCol w:w="1000"/>
        <w:gridCol w:w="1016"/>
        <w:gridCol w:w="1650"/>
      </w:tblGrid>
      <w:tr w14:paraId="0D3C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50" w:type="dxa"/>
            <w:noWrap w:val="0"/>
            <w:vAlign w:val="center"/>
          </w:tcPr>
          <w:p w14:paraId="4C07EA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cs="Times New Roman"/>
                <w:b/>
                <w:color w:val="auto"/>
                <w:sz w:val="24"/>
                <w:szCs w:val="24"/>
                <w:lang w:val="en-US" w:eastAsia="zh-CN"/>
              </w:rPr>
              <w:t>序号</w:t>
            </w:r>
          </w:p>
        </w:tc>
        <w:tc>
          <w:tcPr>
            <w:tcW w:w="3567" w:type="dxa"/>
            <w:noWrap w:val="0"/>
            <w:vAlign w:val="center"/>
          </w:tcPr>
          <w:p w14:paraId="433E31D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指标名称</w:t>
            </w:r>
          </w:p>
        </w:tc>
        <w:tc>
          <w:tcPr>
            <w:tcW w:w="1000" w:type="dxa"/>
            <w:noWrap w:val="0"/>
            <w:vAlign w:val="center"/>
          </w:tcPr>
          <w:p w14:paraId="665C1A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2020年实际值</w:t>
            </w:r>
          </w:p>
        </w:tc>
        <w:tc>
          <w:tcPr>
            <w:tcW w:w="1000" w:type="dxa"/>
            <w:noWrap w:val="0"/>
            <w:vAlign w:val="center"/>
          </w:tcPr>
          <w:p w14:paraId="214527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2025年规划值</w:t>
            </w:r>
          </w:p>
        </w:tc>
        <w:tc>
          <w:tcPr>
            <w:tcW w:w="1016" w:type="dxa"/>
            <w:noWrap w:val="0"/>
            <w:vAlign w:val="center"/>
          </w:tcPr>
          <w:p w14:paraId="73DB8E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指标属性</w:t>
            </w:r>
          </w:p>
        </w:tc>
        <w:tc>
          <w:tcPr>
            <w:tcW w:w="1650" w:type="dxa"/>
            <w:noWrap w:val="0"/>
            <w:vAlign w:val="center"/>
          </w:tcPr>
          <w:p w14:paraId="562C02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责任单位</w:t>
            </w:r>
          </w:p>
        </w:tc>
      </w:tr>
      <w:tr w14:paraId="5D707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83" w:type="dxa"/>
            <w:gridSpan w:val="6"/>
            <w:noWrap w:val="0"/>
            <w:vAlign w:val="center"/>
          </w:tcPr>
          <w:p w14:paraId="137D6E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黑体" w:cs="Times New Roman"/>
                <w:b/>
                <w:bCs/>
                <w:color w:val="auto"/>
                <w:sz w:val="24"/>
                <w:szCs w:val="24"/>
                <w:lang w:val="en-US" w:eastAsia="zh-CN"/>
              </w:rPr>
              <w:t>一、“一老方面”</w:t>
            </w:r>
          </w:p>
        </w:tc>
      </w:tr>
      <w:tr w14:paraId="31E2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3ECC4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3567" w:type="dxa"/>
            <w:noWrap w:val="0"/>
            <w:vAlign w:val="center"/>
          </w:tcPr>
          <w:p w14:paraId="536351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基本医疗保险参保率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00410E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95</w:t>
            </w:r>
          </w:p>
        </w:tc>
        <w:tc>
          <w:tcPr>
            <w:tcW w:w="1000" w:type="dxa"/>
            <w:noWrap w:val="0"/>
            <w:vAlign w:val="center"/>
          </w:tcPr>
          <w:p w14:paraId="21FA1E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95</w:t>
            </w:r>
          </w:p>
        </w:tc>
        <w:tc>
          <w:tcPr>
            <w:tcW w:w="1016" w:type="dxa"/>
            <w:noWrap w:val="0"/>
            <w:vAlign w:val="center"/>
          </w:tcPr>
          <w:p w14:paraId="67F753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7E04CF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市医保局</w:t>
            </w:r>
          </w:p>
        </w:tc>
      </w:tr>
      <w:tr w14:paraId="634B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4D7234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w:t>
            </w:r>
          </w:p>
        </w:tc>
        <w:tc>
          <w:tcPr>
            <w:tcW w:w="3567" w:type="dxa"/>
            <w:noWrap w:val="0"/>
            <w:vAlign w:val="center"/>
          </w:tcPr>
          <w:p w14:paraId="147E6B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失能特困人员集中供养率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193E8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w:t>
            </w:r>
          </w:p>
        </w:tc>
        <w:tc>
          <w:tcPr>
            <w:tcW w:w="1000" w:type="dxa"/>
            <w:noWrap w:val="0"/>
            <w:vAlign w:val="center"/>
          </w:tcPr>
          <w:p w14:paraId="267ED26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2D637F8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E941B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市民社局</w:t>
            </w:r>
          </w:p>
        </w:tc>
      </w:tr>
      <w:tr w14:paraId="3BD8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FF23E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567" w:type="dxa"/>
            <w:noWrap w:val="0"/>
            <w:vAlign w:val="center"/>
          </w:tcPr>
          <w:p w14:paraId="63C09B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居家社区养老服务覆盖率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25D301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20E5B3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6AAFE7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C1F9E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3B23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noWrap w:val="0"/>
            <w:vAlign w:val="center"/>
          </w:tcPr>
          <w:p w14:paraId="63D806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567" w:type="dxa"/>
            <w:noWrap w:val="0"/>
            <w:vAlign w:val="center"/>
          </w:tcPr>
          <w:p w14:paraId="340CA64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新建城区、新建居住（小）区配套建设养老服务设施达标率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16539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317454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1FABC0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6C0B9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市住建局</w:t>
            </w:r>
          </w:p>
        </w:tc>
      </w:tr>
      <w:tr w14:paraId="669F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53FE4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w:t>
            </w:r>
          </w:p>
        </w:tc>
        <w:tc>
          <w:tcPr>
            <w:tcW w:w="3567" w:type="dxa"/>
            <w:noWrap w:val="0"/>
            <w:vAlign w:val="center"/>
          </w:tcPr>
          <w:p w14:paraId="56A6D5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每千名老年人养老床位数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张</w:t>
            </w:r>
            <w:r>
              <w:rPr>
                <w:rFonts w:hint="default" w:ascii="Times New Roman" w:hAnsi="Times New Roman" w:eastAsia="仿宋" w:cs="Times New Roman"/>
                <w:color w:val="auto"/>
                <w:sz w:val="24"/>
                <w:szCs w:val="24"/>
                <w:lang w:eastAsia="zh-CN"/>
              </w:rPr>
              <w:t>）</w:t>
            </w:r>
          </w:p>
        </w:tc>
        <w:tc>
          <w:tcPr>
            <w:tcW w:w="1000" w:type="dxa"/>
            <w:noWrap w:val="0"/>
            <w:vAlign w:val="center"/>
          </w:tcPr>
          <w:p w14:paraId="27815D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1000" w:type="dxa"/>
            <w:noWrap w:val="0"/>
            <w:vAlign w:val="center"/>
          </w:tcPr>
          <w:p w14:paraId="4EA6AF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40</w:t>
            </w:r>
          </w:p>
        </w:tc>
        <w:tc>
          <w:tcPr>
            <w:tcW w:w="1016" w:type="dxa"/>
            <w:noWrap w:val="0"/>
            <w:vAlign w:val="center"/>
          </w:tcPr>
          <w:p w14:paraId="6D65C1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77B2C0C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2995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6D0FA8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p>
        </w:tc>
        <w:tc>
          <w:tcPr>
            <w:tcW w:w="3567" w:type="dxa"/>
            <w:noWrap w:val="0"/>
            <w:vAlign w:val="center"/>
          </w:tcPr>
          <w:p w14:paraId="24CC60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养老机构</w:t>
            </w:r>
            <w:r>
              <w:rPr>
                <w:rFonts w:hint="default" w:ascii="Times New Roman" w:hAnsi="Times New Roman" w:eastAsia="仿宋" w:cs="Times New Roman"/>
                <w:color w:val="auto"/>
                <w:sz w:val="24"/>
                <w:szCs w:val="24"/>
              </w:rPr>
              <w:t>护理型养老床位占比</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ACB74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28.6</w:t>
            </w:r>
          </w:p>
        </w:tc>
        <w:tc>
          <w:tcPr>
            <w:tcW w:w="1000" w:type="dxa"/>
            <w:noWrap w:val="0"/>
            <w:vAlign w:val="center"/>
          </w:tcPr>
          <w:p w14:paraId="219C5B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55</w:t>
            </w:r>
          </w:p>
        </w:tc>
        <w:tc>
          <w:tcPr>
            <w:tcW w:w="1016" w:type="dxa"/>
            <w:noWrap w:val="0"/>
            <w:vAlign w:val="center"/>
          </w:tcPr>
          <w:p w14:paraId="269170E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3AD2F8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5CFB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850" w:type="dxa"/>
            <w:noWrap w:val="0"/>
            <w:vAlign w:val="center"/>
          </w:tcPr>
          <w:p w14:paraId="0C4617B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7</w:t>
            </w:r>
          </w:p>
        </w:tc>
        <w:tc>
          <w:tcPr>
            <w:tcW w:w="3567" w:type="dxa"/>
            <w:noWrap w:val="0"/>
            <w:vAlign w:val="center"/>
          </w:tcPr>
          <w:p w14:paraId="4DC70F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老年人健康管理率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3AC9C4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38.19</w:t>
            </w:r>
          </w:p>
        </w:tc>
        <w:tc>
          <w:tcPr>
            <w:tcW w:w="1000" w:type="dxa"/>
            <w:noWrap w:val="0"/>
            <w:vAlign w:val="center"/>
          </w:tcPr>
          <w:p w14:paraId="2D73AD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&gt;80</w:t>
            </w:r>
          </w:p>
        </w:tc>
        <w:tc>
          <w:tcPr>
            <w:tcW w:w="1016" w:type="dxa"/>
            <w:noWrap w:val="0"/>
            <w:vAlign w:val="center"/>
          </w:tcPr>
          <w:p w14:paraId="724372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323842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市卫健委</w:t>
            </w:r>
          </w:p>
        </w:tc>
      </w:tr>
      <w:tr w14:paraId="7D6D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441FE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w:t>
            </w:r>
          </w:p>
        </w:tc>
        <w:tc>
          <w:tcPr>
            <w:tcW w:w="3567" w:type="dxa"/>
            <w:noWrap w:val="0"/>
            <w:vAlign w:val="center"/>
          </w:tcPr>
          <w:p w14:paraId="59513B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特殊困难老年人月探访率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EE2920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43D511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3264DE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9F410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779B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50" w:type="dxa"/>
            <w:noWrap w:val="0"/>
            <w:vAlign w:val="center"/>
          </w:tcPr>
          <w:p w14:paraId="023EC5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w:t>
            </w:r>
          </w:p>
        </w:tc>
        <w:tc>
          <w:tcPr>
            <w:tcW w:w="3567" w:type="dxa"/>
            <w:noWrap w:val="0"/>
            <w:vAlign w:val="center"/>
          </w:tcPr>
          <w:p w14:paraId="09A76D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人均预期寿命</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lang w:eastAsia="zh-CN"/>
              </w:rPr>
              <w:t>）</w:t>
            </w:r>
          </w:p>
        </w:tc>
        <w:tc>
          <w:tcPr>
            <w:tcW w:w="1000" w:type="dxa"/>
            <w:noWrap w:val="0"/>
            <w:vAlign w:val="center"/>
          </w:tcPr>
          <w:p w14:paraId="336FEA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77.36</w:t>
            </w:r>
          </w:p>
        </w:tc>
        <w:tc>
          <w:tcPr>
            <w:tcW w:w="1000" w:type="dxa"/>
            <w:noWrap w:val="0"/>
            <w:vAlign w:val="center"/>
          </w:tcPr>
          <w:p w14:paraId="1EB12C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78</w:t>
            </w:r>
          </w:p>
        </w:tc>
        <w:tc>
          <w:tcPr>
            <w:tcW w:w="1016" w:type="dxa"/>
            <w:noWrap w:val="0"/>
            <w:vAlign w:val="center"/>
          </w:tcPr>
          <w:p w14:paraId="629B86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869B5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市卫健委</w:t>
            </w:r>
          </w:p>
        </w:tc>
      </w:tr>
      <w:tr w14:paraId="0C6B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1607F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0</w:t>
            </w:r>
          </w:p>
        </w:tc>
        <w:tc>
          <w:tcPr>
            <w:tcW w:w="3567" w:type="dxa"/>
            <w:noWrap w:val="0"/>
            <w:vAlign w:val="center"/>
          </w:tcPr>
          <w:p w14:paraId="50A8F0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福彩公益金投入占比（</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612268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55</w:t>
            </w:r>
          </w:p>
        </w:tc>
        <w:tc>
          <w:tcPr>
            <w:tcW w:w="1000" w:type="dxa"/>
            <w:noWrap w:val="0"/>
            <w:vAlign w:val="center"/>
          </w:tcPr>
          <w:p w14:paraId="1B66A7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55</w:t>
            </w:r>
          </w:p>
        </w:tc>
        <w:tc>
          <w:tcPr>
            <w:tcW w:w="1016" w:type="dxa"/>
            <w:noWrap w:val="0"/>
            <w:vAlign w:val="center"/>
          </w:tcPr>
          <w:p w14:paraId="68213D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BAE2A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151B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01607D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1</w:t>
            </w:r>
          </w:p>
        </w:tc>
        <w:tc>
          <w:tcPr>
            <w:tcW w:w="3567" w:type="dxa"/>
            <w:noWrap w:val="0"/>
            <w:vAlign w:val="center"/>
          </w:tcPr>
          <w:p w14:paraId="3D1AD00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养老护理专业人才数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0B4AD9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9</w:t>
            </w:r>
          </w:p>
        </w:tc>
        <w:tc>
          <w:tcPr>
            <w:tcW w:w="1000" w:type="dxa"/>
            <w:noWrap w:val="0"/>
            <w:vAlign w:val="center"/>
          </w:tcPr>
          <w:p w14:paraId="0A9F67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15</w:t>
            </w:r>
          </w:p>
        </w:tc>
        <w:tc>
          <w:tcPr>
            <w:tcW w:w="1016" w:type="dxa"/>
            <w:noWrap w:val="0"/>
            <w:vAlign w:val="center"/>
          </w:tcPr>
          <w:p w14:paraId="07E600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47475C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3D55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E5671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2</w:t>
            </w:r>
          </w:p>
        </w:tc>
        <w:tc>
          <w:tcPr>
            <w:tcW w:w="3567" w:type="dxa"/>
            <w:noWrap w:val="0"/>
            <w:vAlign w:val="center"/>
          </w:tcPr>
          <w:p w14:paraId="5FAED6D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每千名老年人配套社会工作者人数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7A1A3C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000" w:type="dxa"/>
            <w:noWrap w:val="0"/>
            <w:vAlign w:val="center"/>
          </w:tcPr>
          <w:p w14:paraId="36D1E4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2</w:t>
            </w:r>
          </w:p>
        </w:tc>
        <w:tc>
          <w:tcPr>
            <w:tcW w:w="1016" w:type="dxa"/>
            <w:noWrap w:val="0"/>
            <w:vAlign w:val="center"/>
          </w:tcPr>
          <w:p w14:paraId="7DA110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7E4374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60C2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72295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3567" w:type="dxa"/>
            <w:noWrap w:val="0"/>
            <w:vAlign w:val="center"/>
          </w:tcPr>
          <w:p w14:paraId="5165CEE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示范性老年友好社区（活力发展社区）数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700FBB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000" w:type="dxa"/>
            <w:noWrap w:val="0"/>
            <w:vAlign w:val="center"/>
          </w:tcPr>
          <w:p w14:paraId="6ACCB1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1016" w:type="dxa"/>
            <w:noWrap w:val="0"/>
            <w:vAlign w:val="center"/>
          </w:tcPr>
          <w:p w14:paraId="7311DDB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6BBBEEB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市卫健委</w:t>
            </w:r>
          </w:p>
        </w:tc>
      </w:tr>
      <w:tr w14:paraId="4A767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083" w:type="dxa"/>
            <w:gridSpan w:val="6"/>
            <w:noWrap w:val="0"/>
            <w:vAlign w:val="center"/>
          </w:tcPr>
          <w:p w14:paraId="4117858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黑体" w:cs="Times New Roman"/>
                <w:b/>
                <w:bCs/>
                <w:color w:val="auto"/>
                <w:sz w:val="24"/>
                <w:szCs w:val="24"/>
                <w:lang w:val="en-US" w:eastAsia="zh-CN"/>
              </w:rPr>
              <w:t>二、“一小方面”</w:t>
            </w:r>
          </w:p>
        </w:tc>
      </w:tr>
      <w:tr w14:paraId="02E0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50" w:type="dxa"/>
            <w:noWrap w:val="0"/>
            <w:vAlign w:val="center"/>
          </w:tcPr>
          <w:p w14:paraId="591584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3567" w:type="dxa"/>
            <w:noWrap w:val="0"/>
            <w:vAlign w:val="center"/>
          </w:tcPr>
          <w:p w14:paraId="4799C7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示范性婴幼儿照护服务机构数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66184B3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w:t>
            </w:r>
          </w:p>
        </w:tc>
        <w:tc>
          <w:tcPr>
            <w:tcW w:w="1000" w:type="dxa"/>
            <w:noWrap w:val="0"/>
            <w:vAlign w:val="center"/>
          </w:tcPr>
          <w:p w14:paraId="29C969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2</w:t>
            </w:r>
          </w:p>
        </w:tc>
        <w:tc>
          <w:tcPr>
            <w:tcW w:w="1016" w:type="dxa"/>
            <w:noWrap w:val="0"/>
            <w:vAlign w:val="center"/>
          </w:tcPr>
          <w:p w14:paraId="3D54519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2FBE7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659BD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50" w:type="dxa"/>
            <w:noWrap w:val="0"/>
            <w:vAlign w:val="center"/>
          </w:tcPr>
          <w:p w14:paraId="1E90240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3567" w:type="dxa"/>
            <w:noWrap w:val="0"/>
            <w:vAlign w:val="center"/>
          </w:tcPr>
          <w:p w14:paraId="2F79FA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每千</w:t>
            </w:r>
            <w:r>
              <w:rPr>
                <w:rFonts w:hint="default" w:ascii="Times New Roman" w:hAnsi="Times New Roman" w:cs="Times New Roman"/>
                <w:color w:val="auto"/>
                <w:sz w:val="24"/>
                <w:szCs w:val="24"/>
                <w:lang w:val="en-US" w:eastAsia="zh-CN"/>
              </w:rPr>
              <w:t>常住</w:t>
            </w:r>
            <w:r>
              <w:rPr>
                <w:rFonts w:hint="default" w:ascii="Times New Roman" w:hAnsi="Times New Roman" w:eastAsia="仿宋" w:cs="Times New Roman"/>
                <w:color w:val="auto"/>
                <w:sz w:val="24"/>
                <w:szCs w:val="24"/>
              </w:rPr>
              <w:t>人口托位数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15B8C0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0.87</w:t>
            </w:r>
          </w:p>
        </w:tc>
        <w:tc>
          <w:tcPr>
            <w:tcW w:w="1000" w:type="dxa"/>
            <w:noWrap w:val="0"/>
            <w:vAlign w:val="center"/>
          </w:tcPr>
          <w:p w14:paraId="3C6727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8</w:t>
            </w:r>
          </w:p>
        </w:tc>
        <w:tc>
          <w:tcPr>
            <w:tcW w:w="1016" w:type="dxa"/>
            <w:noWrap w:val="0"/>
            <w:vAlign w:val="center"/>
          </w:tcPr>
          <w:p w14:paraId="5E8AC7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20F6B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3089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50" w:type="dxa"/>
            <w:noWrap w:val="0"/>
            <w:vAlign w:val="center"/>
          </w:tcPr>
          <w:p w14:paraId="31962C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3567" w:type="dxa"/>
            <w:noWrap w:val="0"/>
            <w:vAlign w:val="center"/>
          </w:tcPr>
          <w:p w14:paraId="775F56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普惠性托位占比</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652209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7C65B73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&gt;60</w:t>
            </w:r>
          </w:p>
        </w:tc>
        <w:tc>
          <w:tcPr>
            <w:tcW w:w="1016" w:type="dxa"/>
            <w:noWrap w:val="0"/>
            <w:vAlign w:val="center"/>
          </w:tcPr>
          <w:p w14:paraId="0DF9E4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503DF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7D17D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50" w:type="dxa"/>
            <w:noWrap w:val="0"/>
            <w:vAlign w:val="center"/>
          </w:tcPr>
          <w:p w14:paraId="3A0015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3567" w:type="dxa"/>
            <w:noWrap w:val="0"/>
            <w:vAlign w:val="center"/>
          </w:tcPr>
          <w:p w14:paraId="782B89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普惠性托育点覆盖率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386CCA9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5E3091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&gt;50</w:t>
            </w:r>
          </w:p>
        </w:tc>
        <w:tc>
          <w:tcPr>
            <w:tcW w:w="1016" w:type="dxa"/>
            <w:noWrap w:val="0"/>
            <w:vAlign w:val="center"/>
          </w:tcPr>
          <w:p w14:paraId="2899EC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5FC6D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54FB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noWrap w:val="0"/>
            <w:vAlign w:val="center"/>
          </w:tcPr>
          <w:p w14:paraId="32811C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3567" w:type="dxa"/>
            <w:noWrap w:val="0"/>
            <w:vAlign w:val="center"/>
          </w:tcPr>
          <w:p w14:paraId="257F97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托育</w:t>
            </w:r>
            <w:r>
              <w:rPr>
                <w:rFonts w:hint="default" w:ascii="Times New Roman" w:hAnsi="Times New Roman" w:eastAsia="仿宋" w:cs="Times New Roman"/>
                <w:color w:val="auto"/>
                <w:sz w:val="24"/>
                <w:szCs w:val="24"/>
              </w:rPr>
              <w:t>机构建设标准化</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5FEF8C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602E29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w:t>
            </w:r>
          </w:p>
        </w:tc>
        <w:tc>
          <w:tcPr>
            <w:tcW w:w="1016" w:type="dxa"/>
            <w:noWrap w:val="0"/>
            <w:vAlign w:val="center"/>
          </w:tcPr>
          <w:p w14:paraId="79273E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783D4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2E0B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50" w:type="dxa"/>
            <w:noWrap w:val="0"/>
            <w:vAlign w:val="center"/>
          </w:tcPr>
          <w:p w14:paraId="5A5D51C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19</w:t>
            </w:r>
          </w:p>
        </w:tc>
        <w:tc>
          <w:tcPr>
            <w:tcW w:w="3567" w:type="dxa"/>
            <w:noWrap w:val="0"/>
            <w:vAlign w:val="center"/>
          </w:tcPr>
          <w:p w14:paraId="3EEBF5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社区托育服务覆盖率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7F66CD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34FE0B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50</w:t>
            </w:r>
          </w:p>
        </w:tc>
        <w:tc>
          <w:tcPr>
            <w:tcW w:w="1016" w:type="dxa"/>
            <w:noWrap w:val="0"/>
            <w:vAlign w:val="center"/>
          </w:tcPr>
          <w:p w14:paraId="61344F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1406A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0F55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50" w:type="dxa"/>
            <w:noWrap w:val="0"/>
            <w:vAlign w:val="center"/>
          </w:tcPr>
          <w:p w14:paraId="42CC65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20</w:t>
            </w:r>
          </w:p>
        </w:tc>
        <w:tc>
          <w:tcPr>
            <w:tcW w:w="3567" w:type="dxa"/>
            <w:noWrap w:val="0"/>
            <w:vAlign w:val="center"/>
          </w:tcPr>
          <w:p w14:paraId="5DE8477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托育服务专业人才数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344FCD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41CC5A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kern w:val="2"/>
                <w:sz w:val="24"/>
                <w:szCs w:val="24"/>
                <w:lang w:val="en-US" w:eastAsia="zh-CN" w:bidi="ar-SA"/>
              </w:rPr>
              <w:t>100</w:t>
            </w:r>
          </w:p>
        </w:tc>
        <w:tc>
          <w:tcPr>
            <w:tcW w:w="1016" w:type="dxa"/>
            <w:noWrap w:val="0"/>
            <w:vAlign w:val="center"/>
          </w:tcPr>
          <w:p w14:paraId="77E6F6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2CA793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45C7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noWrap w:val="0"/>
            <w:vAlign w:val="center"/>
          </w:tcPr>
          <w:p w14:paraId="7029AE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21</w:t>
            </w:r>
          </w:p>
        </w:tc>
        <w:tc>
          <w:tcPr>
            <w:tcW w:w="3567" w:type="dxa"/>
            <w:noWrap w:val="0"/>
            <w:vAlign w:val="center"/>
          </w:tcPr>
          <w:p w14:paraId="72E073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从业人员持证上岗率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03C30A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FF0000"/>
                <w:sz w:val="24"/>
                <w:szCs w:val="24"/>
                <w:lang w:val="zh-CN" w:eastAsia="zh-CN"/>
              </w:rPr>
            </w:pPr>
            <w:r>
              <w:rPr>
                <w:rFonts w:hint="default" w:ascii="Times New Roman" w:hAnsi="Times New Roman" w:eastAsia="仿宋" w:cs="Times New Roman"/>
                <w:color w:val="auto"/>
                <w:sz w:val="24"/>
                <w:szCs w:val="24"/>
                <w:lang w:val="zh-CN" w:eastAsia="zh-CN"/>
              </w:rPr>
              <w:t>—</w:t>
            </w:r>
          </w:p>
        </w:tc>
        <w:tc>
          <w:tcPr>
            <w:tcW w:w="1000" w:type="dxa"/>
            <w:noWrap w:val="0"/>
            <w:vAlign w:val="center"/>
          </w:tcPr>
          <w:p w14:paraId="756FA1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50</w:t>
            </w:r>
          </w:p>
        </w:tc>
        <w:tc>
          <w:tcPr>
            <w:tcW w:w="1016" w:type="dxa"/>
            <w:noWrap w:val="0"/>
            <w:vAlign w:val="center"/>
          </w:tcPr>
          <w:p w14:paraId="6225AB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63F014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bl>
    <w:p w14:paraId="264F2FA7">
      <w:pPr>
        <w:rPr>
          <w:rFonts w:hint="default" w:ascii="Times New Roman" w:hAnsi="Times New Roman" w:cs="Times New Roman"/>
        </w:rPr>
      </w:pPr>
    </w:p>
    <w:p w14:paraId="2A1AA7E0">
      <w:pPr>
        <w:pStyle w:val="3"/>
        <w:keepNext w:val="0"/>
        <w:keepLines w:val="0"/>
        <w:pageBreakBefore w:val="0"/>
        <w:kinsoku/>
        <w:wordWrap/>
        <w:overflowPunct/>
        <w:topLinePunct w:val="0"/>
        <w:autoSpaceDE w:val="0"/>
        <w:autoSpaceDN w:val="0"/>
        <w:bidi w:val="0"/>
        <w:adjustRightInd/>
        <w:snapToGrid/>
        <w:spacing w:line="360" w:lineRule="auto"/>
        <w:ind w:firstLine="643" w:firstLineChars="200"/>
        <w:jc w:val="both"/>
        <w:textAlignment w:val="auto"/>
        <w:outlineLvl w:val="0"/>
        <w:rPr>
          <w:rFonts w:hint="default" w:ascii="Times New Roman" w:hAnsi="Times New Roman" w:eastAsia="仿宋" w:cs="Times New Roman"/>
          <w:b/>
          <w:bCs/>
          <w:color w:val="auto"/>
          <w:kern w:val="2"/>
          <w:sz w:val="32"/>
          <w:szCs w:val="32"/>
          <w:lang w:val="zh-CN" w:eastAsia="zh-CN" w:bidi="ar-SA"/>
        </w:rPr>
      </w:pPr>
      <w:bookmarkStart w:id="52" w:name="_Toc4220"/>
      <w:bookmarkStart w:id="53" w:name="_Toc16159"/>
      <w:bookmarkStart w:id="54" w:name="_Toc14500"/>
      <w:bookmarkStart w:id="55" w:name="_Toc24359"/>
      <w:bookmarkStart w:id="56" w:name="_Toc23387"/>
      <w:bookmarkStart w:id="57" w:name="_Toc14466"/>
      <w:r>
        <w:rPr>
          <w:rFonts w:hint="default" w:ascii="Times New Roman" w:hAnsi="Times New Roman" w:eastAsia="仿宋" w:cs="Times New Roman"/>
          <w:b/>
          <w:bCs/>
          <w:color w:val="auto"/>
          <w:kern w:val="2"/>
          <w:sz w:val="32"/>
          <w:szCs w:val="32"/>
          <w:lang w:val="zh-CN" w:eastAsia="zh-CN" w:bidi="ar-SA"/>
        </w:rPr>
        <w:t>三、重点任务</w:t>
      </w:r>
      <w:bookmarkEnd w:id="39"/>
      <w:bookmarkEnd w:id="40"/>
      <w:bookmarkEnd w:id="41"/>
      <w:bookmarkEnd w:id="42"/>
      <w:bookmarkEnd w:id="49"/>
      <w:bookmarkEnd w:id="52"/>
      <w:bookmarkEnd w:id="53"/>
      <w:bookmarkEnd w:id="54"/>
      <w:bookmarkEnd w:id="55"/>
      <w:bookmarkEnd w:id="56"/>
      <w:bookmarkEnd w:id="57"/>
      <w:bookmarkStart w:id="58" w:name="_Toc20974"/>
      <w:bookmarkStart w:id="59" w:name="_Toc3202"/>
    </w:p>
    <w:p w14:paraId="18D69D24">
      <w:pPr>
        <w:pStyle w:val="3"/>
        <w:keepNext w:val="0"/>
        <w:keepLines w:val="0"/>
        <w:pageBreakBefore w:val="0"/>
        <w:kinsoku/>
        <w:wordWrap/>
        <w:overflowPunct/>
        <w:topLinePunct w:val="0"/>
        <w:autoSpaceDE w:val="0"/>
        <w:autoSpaceDN w:val="0"/>
        <w:bidi w:val="0"/>
        <w:adjustRightInd/>
        <w:snapToGrid/>
        <w:spacing w:line="360" w:lineRule="auto"/>
        <w:ind w:firstLine="643" w:firstLineChars="200"/>
        <w:jc w:val="both"/>
        <w:textAlignment w:val="auto"/>
        <w:outlineLvl w:val="1"/>
        <w:rPr>
          <w:rFonts w:hint="default" w:ascii="Times New Roman" w:hAnsi="Times New Roman" w:eastAsia="仿宋" w:cs="Times New Roman"/>
          <w:b/>
          <w:bCs/>
          <w:color w:val="auto"/>
          <w:sz w:val="32"/>
          <w:szCs w:val="32"/>
          <w:lang w:val="en-US" w:eastAsia="zh-CN"/>
        </w:rPr>
      </w:pPr>
      <w:bookmarkStart w:id="60" w:name="_Toc12849"/>
      <w:bookmarkStart w:id="61" w:name="_Toc25909"/>
      <w:r>
        <w:rPr>
          <w:rFonts w:hint="default" w:ascii="Times New Roman" w:hAnsi="Times New Roman" w:eastAsia="仿宋" w:cs="Times New Roman"/>
          <w:b/>
          <w:bCs/>
          <w:color w:val="auto"/>
          <w:sz w:val="32"/>
          <w:szCs w:val="32"/>
          <w:lang w:val="zh-CN" w:eastAsia="zh-CN"/>
        </w:rPr>
        <w:t>（</w:t>
      </w:r>
      <w:r>
        <w:rPr>
          <w:rFonts w:hint="default" w:ascii="Times New Roman" w:hAnsi="Times New Roman" w:eastAsia="仿宋" w:cs="Times New Roman"/>
          <w:b/>
          <w:bCs/>
          <w:color w:val="auto"/>
          <w:sz w:val="32"/>
          <w:szCs w:val="32"/>
          <w:lang w:val="en-US" w:eastAsia="zh-CN"/>
        </w:rPr>
        <w:t>一</w:t>
      </w:r>
      <w:r>
        <w:rPr>
          <w:rFonts w:hint="default" w:ascii="Times New Roman" w:hAnsi="Times New Roman" w:eastAsia="仿宋" w:cs="Times New Roman"/>
          <w:b/>
          <w:bCs/>
          <w:color w:val="auto"/>
          <w:sz w:val="32"/>
          <w:szCs w:val="32"/>
          <w:lang w:val="zh-CN" w:eastAsia="zh-CN"/>
        </w:rPr>
        <w:t>）</w:t>
      </w:r>
      <w:bookmarkEnd w:id="58"/>
      <w:r>
        <w:rPr>
          <w:rFonts w:hint="default" w:ascii="Times New Roman" w:hAnsi="Times New Roman" w:eastAsia="仿宋" w:cs="Times New Roman"/>
          <w:b/>
          <w:bCs/>
          <w:color w:val="auto"/>
          <w:sz w:val="32"/>
          <w:szCs w:val="32"/>
          <w:lang w:val="en-US" w:eastAsia="zh-CN"/>
        </w:rPr>
        <w:t>兜底线、促普惠、市场化协同发展</w:t>
      </w:r>
      <w:bookmarkEnd w:id="59"/>
      <w:bookmarkEnd w:id="60"/>
      <w:bookmarkEnd w:id="61"/>
    </w:p>
    <w:p w14:paraId="5DC668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“兜底线”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兜底性养老服务。突出公办养老机构的公益属性，做好特困人员集中供养工作，优先保障生活不能自理特困人员集中供养，确保有意愿入住的特困人员全部实现集中供养。提升特困供养服务机构管理水平，完成特困供养服务机构法人登记，按照一定比例配备工作人员，将特困供养服务设施运转经费纳入同级财政预算。</w:t>
      </w:r>
      <w:r>
        <w:rPr>
          <w:rFonts w:hint="default" w:ascii="Times New Roman" w:hAnsi="Times New Roman" w:eastAsia="仿宋" w:cs="Times New Roman"/>
          <w:sz w:val="32"/>
          <w:szCs w:val="32"/>
          <w:lang w:val="en-US" w:eastAsia="zh-CN"/>
        </w:rPr>
        <w:t>建立失能人员照护保险制度，制定实施细则。符合条件的养老服务机构，按规定纳入我市失能人员照护保险定点照护服务机构。提升养老机构康养水平，强化医疗康复功能，逐步提高康复、内设医疗机构比例，增设老年养护、临终关怀病床，养老机构护理型床位占比达到85%。鼓励养老机构与医疗机构，按规定进行签约。</w:t>
      </w:r>
      <w:r>
        <w:rPr>
          <w:rFonts w:hint="default" w:ascii="Times New Roman" w:hAnsi="Times New Roman" w:eastAsia="仿宋" w:cs="Times New Roman"/>
          <w:sz w:val="32"/>
          <w:szCs w:val="32"/>
        </w:rPr>
        <w:t>提高护理型床位占比，全面提升公办养老机构的失能（失智）照护能力，以重残、失能、留守、空巢、计划生育特殊家庭等特殊困难老年人为重点，建立特殊困难老年人定期探访制度。</w:t>
      </w:r>
    </w:p>
    <w:p w14:paraId="22B73D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lang w:val="en-US" w:eastAsia="zh-CN" w:bidi="zh-CN"/>
        </w:rPr>
        <w:t>以市幼儿园为基础，扩建</w:t>
      </w:r>
      <w:r>
        <w:rPr>
          <w:rFonts w:hint="default" w:ascii="Times New Roman" w:hAnsi="Times New Roman" w:eastAsia="仿宋" w:cs="Times New Roman"/>
          <w:color w:val="auto"/>
          <w:sz w:val="32"/>
          <w:szCs w:val="32"/>
          <w:lang w:val="en-US" w:eastAsia="zh-CN" w:bidi="zh-CN"/>
        </w:rPr>
        <w:t>一个公办托育机构，结合地方经济发展和财力状况，建立兜底性托育服务清单和资金保障举措，逐步将兜底性托育服务纳入基本公共服务范畴。</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牵头单位：市民政和社区管理局、市卫健委，</w:t>
      </w:r>
      <w:r>
        <w:rPr>
          <w:rFonts w:hint="default" w:ascii="Times New Roman" w:hAnsi="Times New Roman" w:eastAsia="仿宋" w:cs="Times New Roman"/>
          <w:color w:val="auto"/>
          <w:sz w:val="32"/>
          <w:szCs w:val="32"/>
        </w:rPr>
        <w:t>责任单位：</w:t>
      </w:r>
      <w:r>
        <w:rPr>
          <w:rFonts w:hint="default" w:ascii="Times New Roman" w:hAnsi="Times New Roman" w:eastAsia="仿宋" w:cs="Times New Roman"/>
          <w:color w:val="auto"/>
          <w:sz w:val="32"/>
          <w:szCs w:val="32"/>
          <w:lang w:val="en-US" w:eastAsia="zh-CN"/>
        </w:rPr>
        <w:t>市发改委、市财政局、市场监管局、教育科技局</w:t>
      </w:r>
      <w:r>
        <w:rPr>
          <w:rFonts w:hint="default" w:ascii="Times New Roman" w:hAnsi="Times New Roman" w:eastAsia="仿宋" w:cs="Times New Roman"/>
          <w:color w:val="auto"/>
          <w:sz w:val="32"/>
          <w:szCs w:val="32"/>
        </w:rPr>
        <w:t>）</w:t>
      </w:r>
    </w:p>
    <w:p w14:paraId="57C596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“促普惠”：大力发展普惠养老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服务，为中低收入家庭老年人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3岁以下婴幼儿</w:t>
      </w:r>
      <w:r>
        <w:rPr>
          <w:rFonts w:hint="default" w:ascii="Times New Roman" w:hAnsi="Times New Roman" w:eastAsia="仿宋" w:cs="Times New Roman"/>
          <w:sz w:val="32"/>
          <w:szCs w:val="32"/>
        </w:rPr>
        <w:t>提供价格适中、方便可及、质量可靠的养老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服务。持续深入推进城企联动养老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专项行动，通过土地、规划、融资、财税、医养结合、人才等政策的综合应用，支持普惠性养老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服务开展，吸引更多社会力量参与开展普惠养老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服务，积极支持国有企业开展普惠性养老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w:t>
      </w:r>
      <w:r>
        <w:rPr>
          <w:rFonts w:hint="default" w:ascii="Times New Roman" w:hAnsi="Times New Roman" w:eastAsia="仿宋" w:cs="Times New Roman"/>
          <w:color w:val="auto"/>
          <w:kern w:val="0"/>
          <w:sz w:val="32"/>
          <w:szCs w:val="32"/>
          <w:lang w:val="en-US" w:eastAsia="zh-CN" w:bidi="zh-CN"/>
        </w:rPr>
        <w:t>用好用活中央预算内投资对普惠养老托育服务发展的支持政策。以创建公立托育机构为主，新、改扩建专业化的托育服务设施，提供全日托、半日托等多样化的普惠托育服务。推广托幼一体化办学管理模式，鼓励社区、幼儿园开办普惠托育机构，增加普惠托位供给。探索制定普惠服务收费标准，实现普惠养老托育服务价格可负担、质量有保障、运行可持续。</w:t>
      </w:r>
      <w:r>
        <w:rPr>
          <w:rFonts w:hint="default" w:ascii="Times New Roman" w:hAnsi="Times New Roman" w:eastAsia="仿宋" w:cs="Times New Roman"/>
          <w:color w:val="auto"/>
          <w:kern w:val="2"/>
          <w:sz w:val="32"/>
          <w:szCs w:val="32"/>
          <w:lang w:val="en-US" w:eastAsia="zh-CN" w:bidi="ar-SA"/>
        </w:rPr>
        <w:t>（牵头单位：市发改委，责任单位：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、市卫健委、市财政局、市自然资源局、市建设局、市教科局、市市场监管局、市税务局、市金融办）</w:t>
      </w:r>
    </w:p>
    <w:p w14:paraId="3EF4CC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市场化”：引导国有经济（企业）以兼并、收购、参股、合作、租赁、承包等多种形式参与养老托育服务，到2025年，积极培育1家以发展养老托育服务为主责主业的国有企业。全面放开养老服务市场，优化营商环境，通过政策引导激发市场主体积极性和社会力量广泛参与，通过政府主导、社会参与、中介服务、实体承办的运作方式，增加多层次、多样化的养老托育服务供给，培育一批各具特色、管理规范、服务标准的重点企业和养老托育品牌，满足群众高层次养老托育需求。</w:t>
      </w:r>
      <w:r>
        <w:rPr>
          <w:rFonts w:hint="default" w:ascii="Times New Roman" w:hAnsi="Times New Roman" w:eastAsia="仿宋" w:cs="Times New Roman"/>
          <w:sz w:val="32"/>
          <w:szCs w:val="32"/>
          <w:lang w:val="en-US" w:eastAsia="zh-CN"/>
        </w:rPr>
        <w:t>支持保险机构开发相关责任险、养老托育机构运营相关保险及长期照护商业保险等产品，鼓励养老托育服务机构和从业人员一起参保相关产品。</w:t>
      </w:r>
      <w:r>
        <w:rPr>
          <w:rFonts w:hint="default" w:ascii="Times New Roman" w:hAnsi="Times New Roman" w:eastAsia="仿宋" w:cs="Times New Roman"/>
          <w:color w:val="auto"/>
          <w:kern w:val="2"/>
          <w:sz w:val="32"/>
          <w:szCs w:val="32"/>
          <w:lang w:val="en-US" w:eastAsia="zh-CN" w:bidi="ar-SA"/>
        </w:rPr>
        <w:t>（牵头单位：市发改委，责任单位：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、市卫健委、市财政局、市自然资源局、市建设局、市教科局、市市场监管局、市税务局、市金融办）</w:t>
      </w:r>
      <w:bookmarkStart w:id="62" w:name="_Toc21903"/>
    </w:p>
    <w:p w14:paraId="193788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p>
    <w:p w14:paraId="44B545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color w:val="auto"/>
          <w:sz w:val="32"/>
          <w:szCs w:val="32"/>
          <w:lang w:val="zh-CN" w:eastAsia="zh-CN"/>
        </w:rPr>
      </w:pPr>
      <w:bookmarkStart w:id="63" w:name="_Toc21699"/>
      <w:r>
        <w:rPr>
          <w:rFonts w:hint="default" w:ascii="Times New Roman" w:hAnsi="Times New Roman" w:eastAsia="仿宋" w:cs="Times New Roman"/>
          <w:b/>
          <w:bCs/>
          <w:color w:val="auto"/>
          <w:sz w:val="32"/>
          <w:szCs w:val="32"/>
          <w:lang w:val="en-US" w:eastAsia="zh-CN"/>
        </w:rPr>
        <w:t>强化居家社区服务</w:t>
      </w:r>
      <w:bookmarkEnd w:id="62"/>
      <w:bookmarkEnd w:id="63"/>
    </w:p>
    <w:p w14:paraId="58334D3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1.完善居家养老支持措施。</w:t>
      </w:r>
      <w:r>
        <w:rPr>
          <w:rFonts w:hint="default" w:ascii="Times New Roman" w:hAnsi="Times New Roman" w:eastAsia="仿宋" w:cs="Times New Roman"/>
          <w:sz w:val="32"/>
          <w:szCs w:val="32"/>
        </w:rPr>
        <w:t>建立家庭养老支持政策，做实做强居家养老，大力发展“家庭养老床位”，支持各类服务机构运营社区养老服务设施，上门为居家老年人提供生活照料、家务料理、康复护理、精神慰藉等服务。探索开展集中式居家养老服务。逐步把失能失智和高龄老年人家庭成员照护培训纳入政府购买养老服务目录，推进经济困难高龄老年人家庭适老化改造，组织养老机构、社会组织、社工机构等开展养老照护、应急救护知识和技能培训，提高其日常照料和应急处理能力。推广实施“物业服务+养老服务”，支持物业企业开展老年供餐、定期巡访等形式多样的养老服务，推动老年友好型社区建设。鼓励有资质的社会组织或服务机构开展养老服务咨询、代理服务，重点协助计划生育特殊家庭、无子女等老年人办理入住养老机构、就医、监护等事务。</w:t>
      </w:r>
      <w:r>
        <w:rPr>
          <w:rFonts w:hint="default" w:ascii="Times New Roman" w:hAnsi="Times New Roman" w:eastAsia="仿宋" w:cs="Times New Roman"/>
          <w:color w:val="auto"/>
          <w:kern w:val="2"/>
          <w:sz w:val="32"/>
          <w:szCs w:val="32"/>
          <w:lang w:val="en-US" w:eastAsia="zh-CN" w:bidi="ar-SA"/>
        </w:rPr>
        <w:t>（牵头单位：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，责任单位：市发改委、市卫健委、市建设局、市市场监管局）</w:t>
      </w:r>
    </w:p>
    <w:p w14:paraId="43FDFBF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2.优化社区养老设施布局。</w:t>
      </w:r>
      <w:r>
        <w:rPr>
          <w:rFonts w:hint="default" w:ascii="Times New Roman" w:hAnsi="Times New Roman" w:eastAsia="仿宋" w:cs="Times New Roman"/>
          <w:sz w:val="32"/>
          <w:szCs w:val="32"/>
        </w:rPr>
        <w:t>全面落实养老服务设施分区分级规划建设要求，落实规划编制新建住宅（小）区与配套养老服务设施同步规划、同步建设、同步验收、同步交付。对已交付产权人的养老服务设施由民政部门履行监管职责，确保养老服务用途。重点支持街道层面的社区养老服务设施建设，大力推进城区、居住（小）区按标准配套建设社区养老服务设施，推进老旧城区、已建成居住（小）区加快补足社区养老服务设施。加快建设“一刻钟”居家养老服务圈，到2022年，建成</w:t>
      </w:r>
      <w:r>
        <w:rPr>
          <w:rFonts w:hint="default" w:ascii="Times New Roman" w:hAnsi="Times New Roman" w:eastAsia="仿宋" w:cs="Times New Roman"/>
          <w:sz w:val="32"/>
          <w:szCs w:val="32"/>
          <w:lang w:val="en-US" w:eastAsia="zh-CN"/>
        </w:rPr>
        <w:t>2所</w:t>
      </w:r>
      <w:r>
        <w:rPr>
          <w:rFonts w:hint="default" w:ascii="Times New Roman" w:hAnsi="Times New Roman" w:eastAsia="仿宋" w:cs="Times New Roman"/>
          <w:sz w:val="32"/>
          <w:szCs w:val="32"/>
        </w:rPr>
        <w:t>社区</w:t>
      </w:r>
      <w:r>
        <w:rPr>
          <w:rFonts w:hint="default" w:ascii="Times New Roman" w:hAnsi="Times New Roman" w:eastAsia="仿宋" w:cs="Times New Roman"/>
          <w:sz w:val="32"/>
          <w:szCs w:val="32"/>
          <w:lang w:val="en-US" w:eastAsia="zh-CN"/>
        </w:rPr>
        <w:t>居家</w:t>
      </w:r>
      <w:r>
        <w:rPr>
          <w:rFonts w:hint="default" w:ascii="Times New Roman" w:hAnsi="Times New Roman" w:eastAsia="仿宋" w:cs="Times New Roman"/>
          <w:sz w:val="32"/>
          <w:szCs w:val="32"/>
        </w:rPr>
        <w:t>养老服务站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覆盖率达到90%以上，为居家社区老年人提供生活照料、失能护理、短期托养、健康管理、心理慰藉、医疗保健等服务。</w:t>
      </w:r>
      <w:r>
        <w:rPr>
          <w:rFonts w:hint="default" w:ascii="Times New Roman" w:hAnsi="Times New Roman" w:eastAsia="仿宋" w:cs="Times New Roman"/>
          <w:color w:val="auto"/>
          <w:kern w:val="2"/>
          <w:sz w:val="32"/>
          <w:szCs w:val="32"/>
          <w:lang w:val="en-US" w:eastAsia="zh-CN" w:bidi="ar-SA"/>
        </w:rPr>
        <w:t>（牵头单位：市建设局、</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2AD937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3.实施老年人居家和社区适老化改造工程。</w:t>
      </w:r>
      <w:r>
        <w:rPr>
          <w:rFonts w:hint="default" w:ascii="Times New Roman" w:hAnsi="Times New Roman" w:eastAsia="仿宋" w:cs="Times New Roman"/>
          <w:sz w:val="32"/>
          <w:szCs w:val="32"/>
        </w:rPr>
        <w:t>实施特殊困难老年人家庭适老化改造，对纳入分散供养特困人员和符合兜底条件的高龄、失能、残疾老年人家庭实施居家适老化改造。引导有需求的老年人家庭开展适老化改造，配合做好老旧小区适老化改造工作。支持社区养老设施配备康复辅助器具并提供专业指导。鼓励基层群众性自治组织、社区养老服务机构、老年人协会、企事业单位开展社区互助养老活动。</w:t>
      </w:r>
      <w:r>
        <w:rPr>
          <w:rFonts w:hint="default" w:ascii="Times New Roman" w:hAnsi="Times New Roman" w:eastAsia="仿宋" w:cs="Times New Roman"/>
          <w:color w:val="auto"/>
          <w:kern w:val="2"/>
          <w:sz w:val="32"/>
          <w:szCs w:val="32"/>
          <w:lang w:val="en-US" w:eastAsia="zh-CN" w:bidi="ar-SA"/>
        </w:rPr>
        <w:t>（牵头单位：市建设局、</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5DC66B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4.提升应急救援能力。</w:t>
      </w:r>
      <w:r>
        <w:rPr>
          <w:rFonts w:hint="default" w:ascii="Times New Roman" w:hAnsi="Times New Roman" w:eastAsia="仿宋" w:cs="Times New Roman"/>
          <w:sz w:val="32"/>
          <w:szCs w:val="32"/>
        </w:rPr>
        <w:t>加强养老服务风险防控与应急救援机制建设。建立健全养老服务领域安全风险分级管控和隐患排查治理制度机制，加强消防安全、食品药品等风险排查与监测预警协同处置，提升养老服务机构安全生产整体防控能力。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r>
        <w:rPr>
          <w:rFonts w:hint="default" w:ascii="Times New Roman" w:hAnsi="Times New Roman" w:eastAsia="仿宋" w:cs="Times New Roman"/>
          <w:color w:val="auto"/>
          <w:kern w:val="2"/>
          <w:sz w:val="32"/>
          <w:szCs w:val="32"/>
          <w:lang w:val="en-US" w:eastAsia="zh-CN" w:bidi="ar-SA"/>
        </w:rPr>
        <w:t>（牵头单位：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753BAB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lang w:val="en-US" w:eastAsia="zh-CN"/>
        </w:rPr>
        <w:t>5、完善托育服务设施均衡布局。</w:t>
      </w:r>
      <w:r>
        <w:rPr>
          <w:rFonts w:hint="default" w:ascii="Times New Roman" w:hAnsi="Times New Roman" w:eastAsia="仿宋" w:cs="Times New Roman"/>
          <w:color w:val="auto"/>
          <w:kern w:val="0"/>
          <w:sz w:val="32"/>
          <w:szCs w:val="32"/>
          <w:lang w:val="en-US" w:eastAsia="zh-CN" w:bidi="zh-CN"/>
        </w:rPr>
        <w:t>落实新建住宅小区“四同步”配建养老托育服务设施（同步规划、同步建设、同步验收、同步交付），新建和已建居住区按每千人口不少于10个和8个托位建设婴幼儿照护服务设施。鼓励社区开展家庭邻里式婴幼儿照护服务点建设，打造“亲子小屋”等托育服务设施，落实国家家庭托育点备案制度，稳步推进家庭托育点管理制度化、规范化。</w:t>
      </w:r>
      <w:r>
        <w:rPr>
          <w:rFonts w:hint="default" w:ascii="Times New Roman" w:hAnsi="Times New Roman" w:eastAsia="仿宋" w:cs="Times New Roman"/>
          <w:color w:val="auto"/>
          <w:kern w:val="2"/>
          <w:sz w:val="32"/>
          <w:szCs w:val="32"/>
          <w:lang w:val="en-US" w:eastAsia="zh-CN" w:bidi="ar-SA"/>
        </w:rPr>
        <w:t>（牵头单位：市卫健委，责任单位：市发改委、市建设局、市财政局）</w:t>
      </w:r>
    </w:p>
    <w:p w14:paraId="63B3167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kern w:val="0"/>
          <w:sz w:val="32"/>
          <w:szCs w:val="32"/>
          <w:lang w:val="en-US" w:eastAsia="zh-CN" w:bidi="zh-CN"/>
        </w:rPr>
        <w:t>6、促进托育服务提质。</w:t>
      </w:r>
      <w:r>
        <w:rPr>
          <w:rFonts w:hint="default" w:ascii="Times New Roman" w:hAnsi="Times New Roman" w:eastAsia="仿宋" w:cs="Times New Roman"/>
          <w:color w:val="auto"/>
          <w:kern w:val="0"/>
          <w:sz w:val="32"/>
          <w:szCs w:val="32"/>
          <w:lang w:val="en-US" w:eastAsia="zh-CN" w:bidi="zh-CN"/>
        </w:rPr>
        <w:t>汇聚线上线下资源，精准对接市场供需，创新托育消费模式。通过入户指导、亲子活动、家长课堂、互联网直播等方式，为家长及婴幼儿照护者提供科学养育、早期发展科普服务，增强家庭科学育儿能力。利用社区平台与有婴幼儿照护服务需求的家庭，就近建立帮带照护关系，提供公益性照护服务。（</w:t>
      </w:r>
      <w:r>
        <w:rPr>
          <w:rFonts w:hint="default" w:ascii="Times New Roman" w:hAnsi="Times New Roman" w:eastAsia="仿宋" w:cs="Times New Roman"/>
          <w:color w:val="auto"/>
          <w:kern w:val="2"/>
          <w:sz w:val="32"/>
          <w:szCs w:val="32"/>
          <w:lang w:val="en-US" w:eastAsia="zh-CN" w:bidi="ar-SA"/>
        </w:rPr>
        <w:t>牵头单位：市卫健委，责任单位：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、市发改委）</w:t>
      </w:r>
      <w:bookmarkStart w:id="64" w:name="_Toc31393"/>
    </w:p>
    <w:p w14:paraId="652C60D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i w:val="0"/>
          <w:caps w:val="0"/>
          <w:color w:val="auto"/>
          <w:spacing w:val="0"/>
          <w:sz w:val="32"/>
          <w:szCs w:val="32"/>
          <w:shd w:val="clear" w:color="auto" w:fill="auto"/>
          <w:lang w:eastAsia="zh-CN"/>
        </w:rPr>
      </w:pPr>
      <w:bookmarkStart w:id="65" w:name="_Toc27291"/>
      <w:r>
        <w:rPr>
          <w:rFonts w:hint="default" w:ascii="Times New Roman" w:hAnsi="Times New Roman" w:eastAsia="仿宋" w:cs="Times New Roman"/>
          <w:b/>
          <w:bCs/>
          <w:i w:val="0"/>
          <w:caps w:val="0"/>
          <w:color w:val="auto"/>
          <w:spacing w:val="0"/>
          <w:sz w:val="32"/>
          <w:szCs w:val="32"/>
          <w:shd w:val="clear" w:color="auto" w:fill="auto"/>
          <w:lang w:eastAsia="zh-CN"/>
        </w:rPr>
        <w:t>（三）</w:t>
      </w:r>
      <w:r>
        <w:rPr>
          <w:rFonts w:hint="default" w:ascii="Times New Roman" w:hAnsi="Times New Roman" w:eastAsia="仿宋" w:cs="Times New Roman"/>
          <w:b/>
          <w:bCs/>
          <w:i w:val="0"/>
          <w:caps w:val="0"/>
          <w:color w:val="auto"/>
          <w:spacing w:val="0"/>
          <w:sz w:val="32"/>
          <w:szCs w:val="32"/>
          <w:shd w:val="clear" w:color="auto" w:fill="auto"/>
          <w:lang w:val="en-US" w:eastAsia="zh-CN"/>
        </w:rPr>
        <w:t>促进</w:t>
      </w:r>
      <w:r>
        <w:rPr>
          <w:rFonts w:hint="default" w:ascii="Times New Roman" w:hAnsi="Times New Roman" w:eastAsia="仿宋" w:cs="Times New Roman"/>
          <w:b/>
          <w:bCs/>
          <w:i w:val="0"/>
          <w:caps w:val="0"/>
          <w:color w:val="auto"/>
          <w:spacing w:val="0"/>
          <w:sz w:val="32"/>
          <w:szCs w:val="32"/>
          <w:shd w:val="clear" w:color="auto" w:fill="auto"/>
        </w:rPr>
        <w:t>医养融合发展</w:t>
      </w:r>
      <w:bookmarkEnd w:id="64"/>
      <w:bookmarkEnd w:id="65"/>
    </w:p>
    <w:p w14:paraId="6A9C12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大力推进医养康养服务，鼓励医疗机构与社区养老机构开展应签尽签的签约合作服务。支持有条件的养老机构按相关规定申请开办各类康复医院、护理院、中医医院、安宁疗护机构等，重点为失能失智老年人提供所需的医疗护理和生活照护服务。建立健全养老机构与医疗卫生机构合作机制，鼓励多种形式的签约服务、协议合作，推动医疗卫生机构为养老机构开通就诊绿色通道。推进基层医疗卫生机构和医务人员与居家老人建立签约服务关系，为老年人提供健康管理服务。全面推行老年人健康理念、健康生活、健康膳食、健康运动、健康娱乐、健康管理、健康心理等服务，有效延长老年人健康生活状态，降低老年人失能发生率和阿尔茨海默症发病率，实现健康老龄化。</w:t>
      </w:r>
      <w:r>
        <w:rPr>
          <w:rFonts w:hint="default" w:ascii="Times New Roman" w:hAnsi="Times New Roman" w:eastAsia="仿宋" w:cs="Times New Roman"/>
          <w:color w:val="auto"/>
          <w:kern w:val="0"/>
          <w:sz w:val="32"/>
          <w:szCs w:val="32"/>
          <w:lang w:val="en-US" w:eastAsia="zh-CN" w:bidi="zh-CN"/>
        </w:rPr>
        <w:t>（</w:t>
      </w:r>
      <w:r>
        <w:rPr>
          <w:rFonts w:hint="default" w:ascii="Times New Roman" w:hAnsi="Times New Roman" w:eastAsia="仿宋" w:cs="Times New Roman"/>
          <w:color w:val="auto"/>
          <w:kern w:val="2"/>
          <w:sz w:val="32"/>
          <w:szCs w:val="32"/>
          <w:lang w:val="en-US" w:eastAsia="zh-CN" w:bidi="ar-SA"/>
        </w:rPr>
        <w:t>牵头单位：市卫健委，责任单位：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 xml:space="preserve">）   </w:t>
      </w:r>
    </w:p>
    <w:p w14:paraId="5EB813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val="0"/>
          <w:bCs w:val="0"/>
          <w:color w:val="auto"/>
          <w:kern w:val="0"/>
          <w:sz w:val="32"/>
          <w:szCs w:val="32"/>
          <w:lang w:val="en-US" w:eastAsia="zh-CN" w:bidi="zh-CN"/>
        </w:rPr>
        <w:t>探索医育结合。</w:t>
      </w:r>
      <w:r>
        <w:rPr>
          <w:rFonts w:hint="default" w:ascii="Times New Roman" w:hAnsi="Times New Roman" w:eastAsia="仿宋" w:cs="Times New Roman"/>
          <w:color w:val="auto"/>
          <w:kern w:val="0"/>
          <w:sz w:val="32"/>
          <w:szCs w:val="32"/>
          <w:lang w:val="en-US" w:eastAsia="zh-CN" w:bidi="zh-CN"/>
        </w:rPr>
        <w:t>鼓励妇幼保健院、社区卫生服务中心等利用现有资源探索“医育结合”模式。营利性医疗机构可自行确定托育相关服务内容和收费标准。非营利性医疗机构提供的托育相关服务，属于治疗、护理、检查检验等医疗服务的，按现有项目价格收费；属于特需医疗服务的，按照特需医疗价格收费；属于婴幼儿照护、生活照料等非医疗股务的，不作为医疗服务价格项目管理，收费标准由医疗机构自主确定。</w:t>
      </w:r>
      <w:r>
        <w:rPr>
          <w:rFonts w:hint="default" w:ascii="Times New Roman" w:hAnsi="Times New Roman" w:eastAsia="仿宋" w:cs="Times New Roman"/>
          <w:color w:val="auto"/>
          <w:kern w:val="2"/>
          <w:sz w:val="32"/>
          <w:szCs w:val="32"/>
          <w:lang w:val="en-US" w:eastAsia="zh-CN" w:bidi="ar-SA"/>
        </w:rPr>
        <w:t>（牵头单位：市卫健委，责任单位：市医保局）</w:t>
      </w:r>
    </w:p>
    <w:p w14:paraId="3C2567A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i w:val="0"/>
          <w:caps w:val="0"/>
          <w:color w:val="auto"/>
          <w:spacing w:val="0"/>
          <w:sz w:val="32"/>
          <w:szCs w:val="32"/>
          <w:shd w:val="clear" w:color="auto" w:fill="auto"/>
          <w:lang w:val="en-US" w:eastAsia="zh-CN"/>
        </w:rPr>
      </w:pPr>
      <w:bookmarkStart w:id="66" w:name="_Toc27415"/>
      <w:r>
        <w:rPr>
          <w:rFonts w:hint="default" w:ascii="Times New Roman" w:hAnsi="Times New Roman" w:eastAsia="仿宋" w:cs="Times New Roman"/>
          <w:b/>
          <w:bCs/>
          <w:i w:val="0"/>
          <w:caps w:val="0"/>
          <w:color w:val="auto"/>
          <w:spacing w:val="0"/>
          <w:sz w:val="32"/>
          <w:szCs w:val="32"/>
          <w:shd w:val="clear" w:color="auto" w:fill="auto"/>
          <w:lang w:val="en-US" w:eastAsia="zh-CN"/>
        </w:rPr>
        <w:t>（四）加快儿童友好城市建设</w:t>
      </w:r>
      <w:bookmarkEnd w:id="66"/>
    </w:p>
    <w:p w14:paraId="37D9B21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360" w:lineRule="auto"/>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一批儿童劳动教育、自然教育、课外实践、科技体验、素质拓展等校外活动场所设施</w:t>
      </w:r>
      <w:r>
        <w:rPr>
          <w:rFonts w:hint="eastAsia" w:eastAsia="仿宋" w:cs="Times New Roman"/>
          <w:sz w:val="32"/>
          <w:szCs w:val="32"/>
          <w:lang w:val="en-US" w:eastAsia="zh-CN"/>
        </w:rPr>
        <w:t>建设</w:t>
      </w:r>
      <w:r>
        <w:rPr>
          <w:rFonts w:hint="default" w:ascii="Times New Roman" w:hAnsi="Times New Roman" w:eastAsia="仿宋" w:cs="Times New Roman"/>
          <w:sz w:val="32"/>
          <w:szCs w:val="32"/>
        </w:rPr>
        <w:t>，向所在地全体适龄儿童提供公益或普惠性服务。支持城市街区、道路、社区以及学校、医疗机构、公园、图书馆、绿地等公共空间和公共设施适儿化改造等。</w:t>
      </w:r>
      <w:r>
        <w:rPr>
          <w:rFonts w:hint="default" w:ascii="Times New Roman" w:hAnsi="Times New Roman" w:eastAsia="仿宋" w:cs="Times New Roman"/>
          <w:color w:val="auto"/>
          <w:kern w:val="2"/>
          <w:sz w:val="32"/>
          <w:szCs w:val="32"/>
          <w:lang w:val="en-US" w:eastAsia="zh-CN" w:bidi="ar-SA"/>
        </w:rPr>
        <w:t>（牵头单位：市住建局，责任单位：市发改委、市卫健委、市教体局、市财政局）</w:t>
      </w:r>
    </w:p>
    <w:p w14:paraId="0A9423F8">
      <w:pPr>
        <w:pStyle w:val="11"/>
        <w:keepNext w:val="0"/>
        <w:keepLines w:val="0"/>
        <w:pageBreakBefore w:val="0"/>
        <w:numPr>
          <w:ilvl w:val="0"/>
          <w:numId w:val="0"/>
        </w:numPr>
        <w:kinsoku/>
        <w:wordWrap/>
        <w:overflowPunct/>
        <w:topLinePunct w:val="0"/>
        <w:bidi w:val="0"/>
        <w:adjustRightInd/>
        <w:snapToGrid/>
        <w:spacing w:line="360" w:lineRule="auto"/>
        <w:ind w:leftChars="0" w:firstLine="643" w:firstLineChars="200"/>
        <w:textAlignment w:val="auto"/>
        <w:outlineLvl w:val="1"/>
        <w:rPr>
          <w:rFonts w:hint="default" w:ascii="Times New Roman" w:hAnsi="Times New Roman" w:eastAsia="仿宋" w:cs="Times New Roman"/>
          <w:sz w:val="32"/>
          <w:szCs w:val="32"/>
          <w:lang w:val="en-US" w:eastAsia="zh-CN"/>
        </w:rPr>
      </w:pPr>
      <w:bookmarkStart w:id="67" w:name="_Toc13194"/>
      <w:r>
        <w:rPr>
          <w:rFonts w:hint="default" w:ascii="Times New Roman" w:hAnsi="Times New Roman" w:eastAsia="仿宋" w:cs="Times New Roman"/>
          <w:b/>
          <w:bCs/>
          <w:sz w:val="32"/>
          <w:szCs w:val="32"/>
          <w:lang w:val="en-US" w:eastAsia="zh-CN"/>
        </w:rPr>
        <w:t>（五）培育壮大用品和服务行业</w:t>
      </w:r>
      <w:bookmarkEnd w:id="67"/>
    </w:p>
    <w:p w14:paraId="50055269">
      <w:pPr>
        <w:pStyle w:val="11"/>
        <w:keepNext w:val="0"/>
        <w:keepLines w:val="0"/>
        <w:pageBreakBefore w:val="0"/>
        <w:kinsoku/>
        <w:wordWrap/>
        <w:overflowPunct/>
        <w:topLinePunct w:val="0"/>
        <w:bidi w:val="0"/>
        <w:adjustRightInd/>
        <w:snapToGrid/>
        <w:spacing w:line="360" w:lineRule="auto"/>
        <w:ind w:left="0" w:leftChars="0" w:firstLine="643"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1.培育养老产业主体。</w:t>
      </w:r>
      <w:r>
        <w:rPr>
          <w:rFonts w:hint="default" w:ascii="Times New Roman" w:hAnsi="Times New Roman" w:eastAsia="仿宋" w:cs="Times New Roman"/>
          <w:sz w:val="32"/>
          <w:szCs w:val="32"/>
          <w:lang w:val="en-US" w:eastAsia="zh-CN"/>
        </w:rPr>
        <w:t>实施“养老服务+行业”行动，促进养老服务与文化、旅游、餐饮、体育、家政、教育、养生、健康、金融、地产等行业融合发展，培育发展多元化养老服务新业态。培育满足老年人需求的健康产品专业化生产研发基地，促进养老企业连锁化、集团化发展，形成一批产业链长、覆盖领域广、经济社会效益显著的产业集群和集聚区。</w:t>
      </w:r>
    </w:p>
    <w:p w14:paraId="222453DF">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2.促进老年用品开发。</w:t>
      </w:r>
      <w:r>
        <w:rPr>
          <w:rFonts w:hint="default" w:ascii="Times New Roman" w:hAnsi="Times New Roman" w:eastAsia="仿宋" w:cs="Times New Roman"/>
          <w:sz w:val="32"/>
          <w:szCs w:val="32"/>
          <w:lang w:val="en-US" w:eastAsia="zh-CN"/>
        </w:rPr>
        <w:t>发展银发经济，持续推进康复辅助器具应用推广工程，建立康复辅助器具产品和服务信息平台，加强行业需求统计及应用分析，鼓励相关科研单位和企业进行老年人康复训练及促进健康辅具、服装服饰、养老照护产品、日用辅助产品、适老化环境改善产品等老年用品的研发生产，完善检验检测技术保障体系，为老年人提供高质高效的康复训练和日常生活产品。支持新兴材料、人工智能、虚拟现实等新技术在养老服务领域的集成应用与推广。开发适老化技术和产品，重点发展适老康复辅助器具、智能穿戴设备、服务型机器人与无障碍科技产品。</w:t>
      </w:r>
    </w:p>
    <w:p w14:paraId="21FA3CED">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3.推进康复辅具租赁服务和应用推广。</w:t>
      </w:r>
      <w:r>
        <w:rPr>
          <w:rFonts w:hint="default" w:ascii="Times New Roman" w:hAnsi="Times New Roman" w:eastAsia="仿宋" w:cs="Times New Roman"/>
          <w:sz w:val="32"/>
          <w:szCs w:val="32"/>
          <w:lang w:val="en-US" w:eastAsia="zh-CN"/>
        </w:rPr>
        <w:t>持续推进康复辅具器具社区租赁服务工作和康复辅助器具应用推广工程。充分发挥康复辅具在长期照护、康复训练和健康促进方面的作用。提升康复辅具检验鉴定能力，支持商业保险公司创新产品设计，将老年人急需的康复辅具配置纳入保险支付范围。</w:t>
      </w:r>
    </w:p>
    <w:p w14:paraId="3DA82089">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4.培育老年消费市场。</w:t>
      </w:r>
      <w:r>
        <w:rPr>
          <w:rFonts w:hint="default" w:ascii="Times New Roman" w:hAnsi="Times New Roman" w:eastAsia="仿宋" w:cs="Times New Roman"/>
          <w:sz w:val="32"/>
          <w:szCs w:val="32"/>
          <w:lang w:val="en-US" w:eastAsia="zh-CN"/>
        </w:rPr>
        <w:t>充分发挥市场在资源配置中的决定作用，逐步使社会力量成为发展养老服务业的主体，营造平等参与、公平竞争的市场环境。健全市场规范和行业标准，确保养老服务和产品质量，营造安全、便利、诚信的消费环境。推动老年用品进家庭、社区、机构和园区，带动产品供给和产业发展。正确引导老年人的消费观念和消费行为，促进老年消费市场的繁荣与发展。规范市场行为，加大市场监管力度，严厉打击假冒伪劣商品制售行为。</w:t>
      </w:r>
    </w:p>
    <w:p w14:paraId="0DE58CA9">
      <w:pPr>
        <w:pStyle w:val="11"/>
        <w:keepNext w:val="0"/>
        <w:keepLines w:val="0"/>
        <w:pageBreakBefore w:val="0"/>
        <w:kinsoku/>
        <w:wordWrap/>
        <w:overflowPunct/>
        <w:topLinePunct w:val="0"/>
        <w:bidi w:val="0"/>
        <w:adjustRightInd/>
        <w:snapToGrid/>
        <w:spacing w:line="360" w:lineRule="auto"/>
        <w:ind w:left="0" w:lef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sz w:val="32"/>
          <w:szCs w:val="32"/>
          <w:lang w:val="en-US" w:eastAsia="zh-CN"/>
        </w:rPr>
        <w:t>5、拓展育儿服务。</w:t>
      </w:r>
      <w:r>
        <w:rPr>
          <w:rFonts w:hint="default" w:ascii="Times New Roman" w:hAnsi="Times New Roman" w:eastAsia="仿宋" w:cs="Times New Roman"/>
          <w:color w:val="auto"/>
          <w:sz w:val="32"/>
          <w:szCs w:val="32"/>
        </w:rPr>
        <w:t>发展互联网直播互动式家庭育儿服务，鼓励开发婴幼儿养育课程、父母课堂等。引导家政服务企业依托互联网提供保洁、保姆、月嫂、家厨、护工等家政服务。</w:t>
      </w:r>
    </w:p>
    <w:p w14:paraId="005F550D">
      <w:pPr>
        <w:pStyle w:val="11"/>
        <w:keepNext w:val="0"/>
        <w:keepLines w:val="0"/>
        <w:pageBreakBefore w:val="0"/>
        <w:kinsoku/>
        <w:wordWrap/>
        <w:overflowPunct/>
        <w:topLinePunct w:val="0"/>
        <w:bidi w:val="0"/>
        <w:adjustRightInd/>
        <w:snapToGrid/>
        <w:spacing w:line="360" w:lineRule="auto"/>
        <w:ind w:left="0" w:leftChars="0"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（以上牵头单位：市卫健委、</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，责任单位：市工信局，市市场监管局）</w:t>
      </w:r>
    </w:p>
    <w:p w14:paraId="2B1DB8CF">
      <w:pPr>
        <w:pStyle w:val="11"/>
        <w:keepNext w:val="0"/>
        <w:keepLines w:val="0"/>
        <w:pageBreakBefore w:val="0"/>
        <w:numPr>
          <w:ilvl w:val="0"/>
          <w:numId w:val="4"/>
        </w:numPr>
        <w:kinsoku/>
        <w:wordWrap/>
        <w:overflowPunct/>
        <w:topLinePunct w:val="0"/>
        <w:autoSpaceDE w:val="0"/>
        <w:autoSpaceDN w:val="0"/>
        <w:bidi w:val="0"/>
        <w:adjustRightInd/>
        <w:snapToGrid/>
        <w:spacing w:line="360" w:lineRule="auto"/>
        <w:ind w:firstLine="643" w:firstLineChars="200"/>
        <w:textAlignment w:val="auto"/>
        <w:outlineLvl w:val="0"/>
        <w:rPr>
          <w:rFonts w:hint="default" w:ascii="Times New Roman" w:hAnsi="Times New Roman" w:eastAsia="仿宋" w:cs="Times New Roman"/>
          <w:color w:val="auto"/>
          <w:kern w:val="2"/>
          <w:sz w:val="32"/>
          <w:szCs w:val="32"/>
          <w:lang w:val="en-US" w:eastAsia="zh-CN" w:bidi="ar-SA"/>
        </w:rPr>
      </w:pPr>
      <w:bookmarkStart w:id="68" w:name="_Toc3246"/>
      <w:bookmarkStart w:id="69" w:name="_Toc21369"/>
      <w:bookmarkStart w:id="70" w:name="_Toc8743"/>
      <w:bookmarkStart w:id="71" w:name="_Toc3657"/>
      <w:bookmarkStart w:id="72" w:name="_Toc30008"/>
      <w:r>
        <w:rPr>
          <w:rFonts w:hint="default" w:ascii="Times New Roman" w:hAnsi="Times New Roman" w:eastAsia="仿宋" w:cs="Times New Roman"/>
          <w:b/>
          <w:bCs/>
          <w:color w:val="auto"/>
          <w:kern w:val="2"/>
          <w:sz w:val="32"/>
          <w:szCs w:val="32"/>
          <w:lang w:val="en-US" w:eastAsia="zh-CN" w:bidi="ar-SA"/>
        </w:rPr>
        <w:t>保障要素</w:t>
      </w:r>
      <w:bookmarkEnd w:id="68"/>
    </w:p>
    <w:p w14:paraId="5ED0C8EF">
      <w:pPr>
        <w:pStyle w:val="11"/>
        <w:keepNext w:val="0"/>
        <w:keepLines w:val="0"/>
        <w:pageBreakBefore w:val="0"/>
        <w:numPr>
          <w:ilvl w:val="0"/>
          <w:numId w:val="5"/>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zh-CN" w:eastAsia="zh-CN"/>
        </w:rPr>
        <w:t>建立工作机制。</w:t>
      </w:r>
      <w:r>
        <w:rPr>
          <w:rFonts w:hint="default" w:ascii="Times New Roman" w:hAnsi="Times New Roman" w:eastAsia="仿宋" w:cs="Times New Roman"/>
          <w:color w:val="auto"/>
          <w:sz w:val="32"/>
          <w:szCs w:val="32"/>
          <w:lang w:val="zh-CN" w:eastAsia="zh-CN"/>
        </w:rPr>
        <w:t>成立推进二连浩特市“一老一小”人口服务体系建设工作领导小组，组长由政府主要领导担任、副组长由政府分管领导、</w:t>
      </w:r>
      <w:r>
        <w:rPr>
          <w:rFonts w:hint="eastAsia" w:ascii="Times New Roman" w:hAnsi="Times New Roman" w:eastAsia="仿宋" w:cs="Times New Roman"/>
          <w:color w:val="auto"/>
          <w:sz w:val="32"/>
          <w:szCs w:val="32"/>
          <w:lang w:val="zh-CN" w:eastAsia="zh-CN"/>
        </w:rPr>
        <w:t>发展和改革委员会</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卫健委、</w:t>
      </w:r>
      <w:r>
        <w:rPr>
          <w:rFonts w:hint="default" w:ascii="Times New Roman" w:hAnsi="Times New Roman" w:eastAsia="仿宋" w:cs="Times New Roman"/>
          <w:color w:val="auto"/>
          <w:sz w:val="32"/>
          <w:szCs w:val="32"/>
          <w:lang w:val="zh-CN" w:eastAsia="zh-CN"/>
        </w:rPr>
        <w:t>民政局主要领导担任、成员单位包括相关部门主要领导。领导小组下设办公室。领导小组的主要职责是加强全市“一老一小”人口服务体系建设工作的组织领导，统筹推进各项工作；协调解决重大问题，督促有关部门和单位推进工作落实；完成</w:t>
      </w:r>
      <w:r>
        <w:rPr>
          <w:rFonts w:hint="eastAsia" w:ascii="Times New Roman" w:hAnsi="Times New Roman" w:eastAsia="仿宋" w:cs="Times New Roman"/>
          <w:color w:val="auto"/>
          <w:sz w:val="32"/>
          <w:szCs w:val="32"/>
          <w:lang w:val="zh-CN" w:eastAsia="zh-CN"/>
        </w:rPr>
        <w:t>市委</w:t>
      </w:r>
      <w:r>
        <w:rPr>
          <w:rFonts w:hint="default" w:ascii="Times New Roman" w:hAnsi="Times New Roman" w:eastAsia="仿宋" w:cs="Times New Roman"/>
          <w:color w:val="auto"/>
          <w:sz w:val="32"/>
          <w:szCs w:val="32"/>
          <w:lang w:val="zh-CN" w:eastAsia="zh-CN"/>
        </w:rPr>
        <w:t>、</w:t>
      </w:r>
      <w:r>
        <w:rPr>
          <w:rFonts w:hint="eastAsia"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lang w:val="zh-CN" w:eastAsia="zh-CN"/>
        </w:rPr>
        <w:t>政府和上级部门交办的其他事项。领导小组办公室的主要职责是承担领导小组日常工作；跟踪督促领导小组决定</w:t>
      </w:r>
      <w:r>
        <w:rPr>
          <w:rFonts w:hint="default" w:ascii="Times New Roman" w:hAnsi="Times New Roman" w:eastAsia="仿宋" w:cs="Times New Roman"/>
          <w:color w:val="auto"/>
          <w:sz w:val="32"/>
          <w:szCs w:val="32"/>
          <w:lang w:val="en-US" w:eastAsia="zh-CN"/>
        </w:rPr>
        <w:t xml:space="preserve"> 事项的落实；及时梳理工作推进中出现的困难和问题，研究提出工作建议，及时向领导小组报告；完成领导小组交办的其他事项。</w:t>
      </w:r>
      <w:r>
        <w:rPr>
          <w:rFonts w:hint="default" w:ascii="Times New Roman" w:hAnsi="Times New Roman" w:eastAsia="仿宋" w:cs="Times New Roman"/>
          <w:color w:val="auto"/>
          <w:kern w:val="2"/>
          <w:sz w:val="32"/>
          <w:szCs w:val="32"/>
          <w:lang w:val="en-US" w:eastAsia="zh-CN" w:bidi="ar-SA"/>
        </w:rPr>
        <w:t>（二连浩特市</w:t>
      </w:r>
      <w:r>
        <w:rPr>
          <w:rFonts w:hint="default" w:ascii="Times New Roman" w:hAnsi="Times New Roman" w:eastAsia="仿宋" w:cs="Times New Roman"/>
          <w:color w:val="auto"/>
          <w:sz w:val="32"/>
          <w:szCs w:val="32"/>
          <w:lang w:val="zh-CN" w:eastAsia="zh-CN"/>
        </w:rPr>
        <w:t>“一老一小”人口服务体系建设工作领导小组成员单位按照职责分工</w:t>
      </w:r>
      <w:r>
        <w:rPr>
          <w:rFonts w:hint="default" w:ascii="Times New Roman" w:hAnsi="Times New Roman" w:eastAsia="仿宋" w:cs="Times New Roman"/>
          <w:color w:val="auto"/>
          <w:kern w:val="2"/>
          <w:sz w:val="32"/>
          <w:szCs w:val="32"/>
          <w:lang w:val="en-US" w:eastAsia="zh-CN" w:bidi="ar-SA"/>
        </w:rPr>
        <w:t>）</w:t>
      </w:r>
    </w:p>
    <w:p w14:paraId="69E6991C">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i w:val="0"/>
          <w:caps w:val="0"/>
          <w:color w:val="auto"/>
          <w:spacing w:val="0"/>
          <w:kern w:val="0"/>
          <w:sz w:val="32"/>
          <w:szCs w:val="32"/>
          <w:shd w:val="clear" w:color="auto" w:fill="auto"/>
          <w:lang w:val="zh-CN" w:eastAsia="zh-CN" w:bidi="ar"/>
        </w:rPr>
        <w:t>（</w:t>
      </w: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二</w:t>
      </w:r>
      <w:r>
        <w:rPr>
          <w:rFonts w:hint="default" w:ascii="Times New Roman" w:hAnsi="Times New Roman" w:eastAsia="仿宋" w:cs="Times New Roman"/>
          <w:b/>
          <w:bCs/>
          <w:i w:val="0"/>
          <w:caps w:val="0"/>
          <w:color w:val="auto"/>
          <w:spacing w:val="0"/>
          <w:kern w:val="0"/>
          <w:sz w:val="32"/>
          <w:szCs w:val="32"/>
          <w:shd w:val="clear" w:color="auto" w:fill="auto"/>
          <w:lang w:val="zh-CN" w:eastAsia="zh-CN" w:bidi="ar"/>
        </w:rPr>
        <w:t>）</w:t>
      </w: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着重整体推进。</w:t>
      </w:r>
      <w:r>
        <w:rPr>
          <w:rFonts w:hint="default" w:ascii="Times New Roman" w:hAnsi="Times New Roman" w:eastAsia="仿宋" w:cs="Times New Roman"/>
          <w:color w:val="auto"/>
          <w:sz w:val="32"/>
          <w:szCs w:val="32"/>
          <w:lang w:val="zh-CN" w:eastAsia="zh-CN"/>
        </w:rPr>
        <w:t>根据“一老一小”人口分布和结构变化，</w:t>
      </w:r>
      <w:r>
        <w:rPr>
          <w:rFonts w:hint="default" w:ascii="Times New Roman" w:hAnsi="Times New Roman" w:eastAsia="仿宋" w:cs="Times New Roman"/>
          <w:color w:val="auto"/>
          <w:sz w:val="32"/>
          <w:szCs w:val="32"/>
          <w:lang w:val="en-US" w:eastAsia="zh-CN"/>
        </w:rPr>
        <w:t>健全</w:t>
      </w:r>
      <w:r>
        <w:rPr>
          <w:rFonts w:hint="default" w:ascii="Times New Roman" w:hAnsi="Times New Roman" w:eastAsia="仿宋" w:cs="Times New Roman"/>
          <w:color w:val="auto"/>
          <w:sz w:val="32"/>
          <w:szCs w:val="32"/>
          <w:lang w:val="zh-CN" w:eastAsia="zh-CN"/>
        </w:rPr>
        <w:t>养老托育</w:t>
      </w:r>
      <w:r>
        <w:rPr>
          <w:rFonts w:hint="default" w:ascii="Times New Roman" w:hAnsi="Times New Roman" w:eastAsia="仿宋" w:cs="Times New Roman"/>
          <w:color w:val="auto"/>
          <w:sz w:val="32"/>
          <w:szCs w:val="32"/>
          <w:lang w:val="en-US" w:eastAsia="zh-CN"/>
        </w:rPr>
        <w:t>服务体系，将养老托育纳入国民经济社会发展规划统筹推进，把民政、卫健部门纳入本级国土空间规划委员会，在年度建设用地供应中保障养老托育用地需求，促进服务能力提质扩容和服务设施均衡布局。</w:t>
      </w:r>
      <w:bookmarkStart w:id="73" w:name="_Toc15168"/>
      <w:r>
        <w:rPr>
          <w:rFonts w:hint="default" w:ascii="Times New Roman" w:hAnsi="Times New Roman" w:eastAsia="仿宋" w:cs="Times New Roman"/>
          <w:color w:val="auto"/>
          <w:kern w:val="2"/>
          <w:sz w:val="32"/>
          <w:szCs w:val="32"/>
          <w:lang w:val="en-US" w:eastAsia="zh-CN" w:bidi="ar-SA"/>
        </w:rPr>
        <w:t>（二连浩特市</w:t>
      </w:r>
      <w:r>
        <w:rPr>
          <w:rFonts w:hint="default" w:ascii="Times New Roman" w:hAnsi="Times New Roman" w:eastAsia="仿宋" w:cs="Times New Roman"/>
          <w:color w:val="auto"/>
          <w:sz w:val="32"/>
          <w:szCs w:val="32"/>
          <w:lang w:val="zh-CN" w:eastAsia="zh-CN"/>
        </w:rPr>
        <w:t>“一老一小”人口服务体系建设工作领导小组成员单位按照职责分工</w:t>
      </w:r>
      <w:r>
        <w:rPr>
          <w:rFonts w:hint="default" w:ascii="Times New Roman" w:hAnsi="Times New Roman" w:eastAsia="仿宋" w:cs="Times New Roman"/>
          <w:color w:val="auto"/>
          <w:kern w:val="2"/>
          <w:sz w:val="32"/>
          <w:szCs w:val="32"/>
          <w:lang w:val="en-US" w:eastAsia="zh-CN" w:bidi="ar-SA"/>
        </w:rPr>
        <w:t>）</w:t>
      </w:r>
    </w:p>
    <w:p w14:paraId="7075FFD9">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（三）加大资金投入。</w:t>
      </w:r>
      <w:r>
        <w:rPr>
          <w:rFonts w:hint="default" w:ascii="Times New Roman" w:hAnsi="Times New Roman" w:eastAsia="仿宋" w:cs="Times New Roman"/>
          <w:b w:val="0"/>
          <w:bCs w:val="0"/>
          <w:i w:val="0"/>
          <w:caps w:val="0"/>
          <w:color w:val="auto"/>
          <w:spacing w:val="0"/>
          <w:kern w:val="0"/>
          <w:sz w:val="32"/>
          <w:szCs w:val="32"/>
          <w:shd w:val="clear" w:color="auto" w:fill="auto"/>
          <w:lang w:val="en-US" w:eastAsia="zh-CN" w:bidi="ar"/>
        </w:rPr>
        <w:t>切实贯彻落实国自治区税费减免政策，</w:t>
      </w:r>
      <w:r>
        <w:rPr>
          <w:rFonts w:hint="default" w:ascii="Times New Roman" w:hAnsi="Times New Roman" w:eastAsia="仿宋" w:cs="Times New Roman"/>
          <w:color w:val="auto"/>
          <w:sz w:val="32"/>
          <w:szCs w:val="32"/>
        </w:rPr>
        <w:t>发挥财政资金在支持养老托育服务方面的示范作用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确保税费优惠政策惠及市场主体。</w:t>
      </w:r>
      <w:r>
        <w:rPr>
          <w:rFonts w:hint="default" w:ascii="Times New Roman" w:hAnsi="Times New Roman" w:eastAsia="仿宋" w:cs="Times New Roman"/>
          <w:color w:val="auto"/>
          <w:sz w:val="32"/>
          <w:szCs w:val="32"/>
          <w:lang w:eastAsia="zh-CN"/>
        </w:rPr>
        <w:t>将</w:t>
      </w:r>
      <w:r>
        <w:rPr>
          <w:rFonts w:hint="default" w:ascii="Times New Roman" w:hAnsi="Times New Roman" w:eastAsia="仿宋" w:cs="Times New Roman"/>
          <w:color w:val="auto"/>
          <w:sz w:val="32"/>
          <w:szCs w:val="32"/>
        </w:rPr>
        <w:t>社会福利事业的彩票公益金用于支持发展养老服务。</w:t>
      </w:r>
      <w:r>
        <w:rPr>
          <w:rFonts w:hint="default" w:ascii="Times New Roman" w:hAnsi="Times New Roman" w:eastAsia="仿宋" w:cs="Times New Roman"/>
          <w:color w:val="auto"/>
          <w:sz w:val="32"/>
          <w:szCs w:val="32"/>
          <w:lang w:eastAsia="zh-CN"/>
        </w:rPr>
        <w:t>特困人员供养机构运转经费、</w:t>
      </w:r>
      <w:r>
        <w:rPr>
          <w:rFonts w:hint="default" w:ascii="Times New Roman" w:hAnsi="Times New Roman" w:eastAsia="仿宋" w:cs="Times New Roman"/>
          <w:color w:val="auto"/>
          <w:sz w:val="32"/>
          <w:szCs w:val="32"/>
          <w:lang w:val="en-US" w:eastAsia="zh-CN"/>
        </w:rPr>
        <w:t>高龄津贴、养老机构责任床位保险补贴、特困人员救助供养金和护理补贴、居家社区养老服务站建设费、第三方运营费、政府购买居家社区12349养老服务支出列入同级财政预算。经有关部门批准的养老托育服务机构用水、用电、用气按居民类价格执行。</w:t>
      </w:r>
      <w:r>
        <w:rPr>
          <w:rFonts w:hint="default" w:ascii="Times New Roman" w:hAnsi="Times New Roman" w:eastAsia="仿宋" w:cs="Times New Roman"/>
          <w:color w:val="auto"/>
          <w:sz w:val="32"/>
          <w:szCs w:val="32"/>
        </w:rPr>
        <w:t>对吸纳符合条件劳动者的养老托育机构按规定给予社保补贴。</w:t>
      </w:r>
      <w:r>
        <w:rPr>
          <w:rFonts w:hint="default" w:ascii="Times New Roman" w:hAnsi="Times New Roman" w:eastAsia="仿宋" w:cs="Times New Roman"/>
          <w:color w:val="auto"/>
          <w:sz w:val="32"/>
          <w:szCs w:val="32"/>
          <w:lang w:val="en-US" w:eastAsia="zh-CN"/>
        </w:rPr>
        <w:t>鼓励银行、保险、基金等各类金融机构为养老托育服务机构和企业提供多样化金融服务。从事养老托育服务行业并符合条件的个人和小微企业可分别申请最高不超过20万元、300万元创业担保贷款，并按照规定贴息。</w:t>
      </w:r>
    </w:p>
    <w:p w14:paraId="16822334">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鼓励社会资本探索多种养老托育服务经营模式，成立以普惠养老托育服务为主业的专业平台，完善以社会责任为主要方向的考核评价机制。实施“养老托育服务+行业”行动，推动新兴养老托育服务业态发展。发展集中管理运营的托育服务网络，建设一批承担指导功能的普惠性托育机构。支持产业园区、用人单位为职工提供福利托育服务补贴措施。加大对养老托育企业的普惠性金融支持力度，创新信贷支持方式，推进应收账款质押贷款、收费权质押贷款和“信易贷”等模式。允许营利性养老机构以有偿取得的土地、设施等资产进行抵押融资。</w:t>
      </w:r>
      <w:r>
        <w:rPr>
          <w:rFonts w:hint="default" w:ascii="Times New Roman" w:hAnsi="Times New Roman" w:eastAsia="仿宋" w:cs="Times New Roman"/>
          <w:color w:val="auto"/>
          <w:kern w:val="2"/>
          <w:sz w:val="32"/>
          <w:szCs w:val="32"/>
          <w:lang w:val="en-US" w:eastAsia="zh-CN" w:bidi="ar-SA"/>
        </w:rPr>
        <w:t>（牵头单位：市财政局，责任单位：市税务局、市发改委、市民政局、市政府金融办、市人社局）</w:t>
      </w:r>
    </w:p>
    <w:p w14:paraId="4103EEA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val="en-US" w:eastAsia="zh-CN"/>
        </w:rPr>
        <w:t>（四）</w:t>
      </w:r>
      <w:bookmarkEnd w:id="73"/>
      <w:bookmarkStart w:id="74" w:name="_Toc2189"/>
      <w:r>
        <w:rPr>
          <w:rFonts w:hint="default" w:ascii="Times New Roman" w:hAnsi="Times New Roman" w:eastAsia="仿宋" w:cs="Times New Roman"/>
          <w:b/>
          <w:bCs/>
          <w:color w:val="auto"/>
          <w:sz w:val="32"/>
          <w:szCs w:val="32"/>
          <w:lang w:val="en-US" w:eastAsia="zh-CN"/>
        </w:rPr>
        <w:t>加强</w:t>
      </w:r>
      <w:r>
        <w:rPr>
          <w:rFonts w:hint="default" w:ascii="Times New Roman" w:hAnsi="Times New Roman" w:eastAsia="仿宋" w:cs="Times New Roman"/>
          <w:b/>
          <w:bCs/>
          <w:color w:val="auto"/>
          <w:sz w:val="32"/>
          <w:szCs w:val="32"/>
        </w:rPr>
        <w:t>人才</w:t>
      </w:r>
      <w:bookmarkEnd w:id="74"/>
      <w:r>
        <w:rPr>
          <w:rFonts w:hint="default" w:ascii="Times New Roman" w:hAnsi="Times New Roman" w:eastAsia="仿宋" w:cs="Times New Roman"/>
          <w:b/>
          <w:bCs/>
          <w:color w:val="auto"/>
          <w:sz w:val="32"/>
          <w:szCs w:val="32"/>
          <w:lang w:val="en-US" w:eastAsia="zh-CN"/>
        </w:rPr>
        <w:t>培养</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t>健全</w:t>
      </w:r>
      <w:r>
        <w:rPr>
          <w:rFonts w:hint="default" w:ascii="Times New Roman" w:hAnsi="Times New Roman" w:eastAsia="仿宋" w:cs="Times New Roman"/>
          <w:color w:val="auto"/>
          <w:sz w:val="32"/>
          <w:szCs w:val="32"/>
          <w:lang w:val="en-US" w:eastAsia="zh-CN"/>
        </w:rPr>
        <w:t>职业</w:t>
      </w:r>
      <w:r>
        <w:rPr>
          <w:rFonts w:hint="default" w:ascii="Times New Roman" w:hAnsi="Times New Roman" w:eastAsia="仿宋" w:cs="Times New Roman"/>
          <w:color w:val="auto"/>
          <w:sz w:val="32"/>
          <w:szCs w:val="32"/>
        </w:rPr>
        <w:t>教</w:t>
      </w:r>
      <w:r>
        <w:rPr>
          <w:rFonts w:hint="default" w:ascii="Times New Roman" w:hAnsi="Times New Roman" w:eastAsia="仿宋" w:cs="Times New Roman"/>
          <w:color w:val="auto"/>
          <w:sz w:val="32"/>
          <w:szCs w:val="32"/>
          <w:lang w:val="en-US" w:eastAsia="zh-CN"/>
        </w:rPr>
        <w:t>育培训体系，鼓励内蒙古师范大学二连浩特国际学院开设养老托育相关课程，鼓励职业技能教育培训机构开展养老托育相关培训，重点加强老人护理、婴幼儿照护、家庭科</w:t>
      </w:r>
      <w:r>
        <w:rPr>
          <w:rFonts w:hint="default" w:ascii="Times New Roman" w:hAnsi="Times New Roman" w:eastAsia="仿宋" w:cs="Times New Roman"/>
          <w:color w:val="auto"/>
          <w:sz w:val="32"/>
          <w:szCs w:val="32"/>
        </w:rPr>
        <w:t>学育儿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医疗康复、营养调配、心理咨询等方面专业人才</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引导养老护理员</w:t>
      </w:r>
      <w:r>
        <w:rPr>
          <w:rFonts w:hint="default" w:ascii="Times New Roman" w:hAnsi="Times New Roman" w:eastAsia="仿宋" w:cs="Times New Roman"/>
          <w:color w:val="auto"/>
          <w:sz w:val="32"/>
          <w:szCs w:val="32"/>
          <w:lang w:eastAsia="zh-CN"/>
        </w:rPr>
        <w:t>、育婴员</w:t>
      </w:r>
      <w:r>
        <w:rPr>
          <w:rFonts w:hint="default" w:ascii="Times New Roman" w:hAnsi="Times New Roman" w:eastAsia="仿宋" w:cs="Times New Roman"/>
          <w:color w:val="auto"/>
          <w:sz w:val="32"/>
          <w:szCs w:val="32"/>
        </w:rPr>
        <w:t>及社区养老</w:t>
      </w:r>
      <w:r>
        <w:rPr>
          <w:rFonts w:hint="default" w:ascii="Times New Roman" w:hAnsi="Times New Roman" w:eastAsia="仿宋" w:cs="Times New Roman"/>
          <w:color w:val="auto"/>
          <w:sz w:val="32"/>
          <w:szCs w:val="32"/>
          <w:lang w:eastAsia="zh-CN"/>
        </w:rPr>
        <w:t>托育</w:t>
      </w:r>
      <w:r>
        <w:rPr>
          <w:rFonts w:hint="default" w:ascii="Times New Roman" w:hAnsi="Times New Roman" w:eastAsia="仿宋" w:cs="Times New Roman"/>
          <w:color w:val="auto"/>
          <w:sz w:val="32"/>
          <w:szCs w:val="32"/>
          <w:lang w:val="en-US" w:eastAsia="zh-CN"/>
        </w:rPr>
        <w:t>从业</w:t>
      </w:r>
      <w:r>
        <w:rPr>
          <w:rFonts w:hint="default" w:ascii="Times New Roman" w:hAnsi="Times New Roman" w:eastAsia="仿宋" w:cs="Times New Roman"/>
          <w:color w:val="auto"/>
          <w:sz w:val="32"/>
          <w:szCs w:val="32"/>
        </w:rPr>
        <w:t>人员</w:t>
      </w:r>
      <w:r>
        <w:rPr>
          <w:rFonts w:hint="default" w:ascii="Times New Roman" w:hAnsi="Times New Roman" w:eastAsia="仿宋" w:cs="Times New Roman"/>
          <w:color w:val="auto"/>
          <w:sz w:val="32"/>
          <w:szCs w:val="32"/>
          <w:lang w:val="en-US" w:eastAsia="zh-CN"/>
        </w:rPr>
        <w:t>每年进行1次以上的“回炉”培训。</w:t>
      </w:r>
      <w:r>
        <w:rPr>
          <w:rFonts w:hint="default" w:ascii="Times New Roman" w:hAnsi="Times New Roman" w:eastAsia="仿宋" w:cs="Times New Roman"/>
          <w:color w:val="auto"/>
          <w:sz w:val="32"/>
          <w:szCs w:val="32"/>
        </w:rPr>
        <w:t>支持医养融合服务机构的医务人员到二级以上医疗机构进修培训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kern w:val="2"/>
          <w:sz w:val="32"/>
          <w:szCs w:val="32"/>
          <w:lang w:val="en-US" w:eastAsia="zh-CN" w:bidi="ar-SA"/>
        </w:rPr>
        <w:t>（牵头单位：市人社局，责任单位：市教体局、市卫健委）</w:t>
      </w:r>
    </w:p>
    <w:p w14:paraId="1762E4A6">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lang w:val="en-US" w:eastAsia="zh-CN"/>
        </w:rPr>
        <w:t>（五）创新支持政策。</w:t>
      </w:r>
      <w:r>
        <w:rPr>
          <w:rFonts w:hint="default" w:ascii="Times New Roman" w:hAnsi="Times New Roman" w:eastAsia="仿宋" w:cs="Times New Roman"/>
          <w:color w:val="auto"/>
          <w:sz w:val="32"/>
          <w:szCs w:val="32"/>
          <w:highlight w:val="none"/>
          <w:lang w:val="en-US" w:eastAsia="zh-CN"/>
        </w:rPr>
        <w:t>支持符合条件的普惠养老托育机构申报中央预算内投资。依法简化养老托育机构开办程序，对开展连锁型养老托育机构新开设单个服务实体的，达到备案条件的，可在登记部门实行备案制，不再单独报批。对闲置的</w:t>
      </w:r>
      <w:r>
        <w:rPr>
          <w:rFonts w:hint="default" w:ascii="Times New Roman" w:hAnsi="Times New Roman" w:eastAsia="仿宋" w:cs="Times New Roman"/>
          <w:color w:val="auto"/>
          <w:sz w:val="32"/>
          <w:szCs w:val="32"/>
          <w:highlight w:val="none"/>
        </w:rPr>
        <w:t>符合规划的</w:t>
      </w:r>
      <w:r>
        <w:rPr>
          <w:rFonts w:hint="default" w:ascii="Times New Roman" w:hAnsi="Times New Roman" w:eastAsia="仿宋" w:cs="Times New Roman"/>
          <w:color w:val="auto"/>
          <w:sz w:val="32"/>
          <w:szCs w:val="32"/>
          <w:highlight w:val="none"/>
          <w:lang w:val="en-US" w:eastAsia="zh-CN"/>
        </w:rPr>
        <w:t>国有资产场所无偿或低偿</w:t>
      </w:r>
      <w:r>
        <w:rPr>
          <w:rFonts w:hint="default" w:ascii="Times New Roman" w:hAnsi="Times New Roman" w:eastAsia="仿宋" w:cs="Times New Roman"/>
          <w:color w:val="auto"/>
          <w:sz w:val="32"/>
          <w:szCs w:val="32"/>
          <w:highlight w:val="none"/>
        </w:rPr>
        <w:t>安排用于养老</w:t>
      </w:r>
      <w:r>
        <w:rPr>
          <w:rFonts w:hint="default" w:ascii="Times New Roman" w:hAnsi="Times New Roman" w:eastAsia="仿宋" w:cs="Times New Roman"/>
          <w:color w:val="auto"/>
          <w:sz w:val="32"/>
          <w:szCs w:val="32"/>
          <w:highlight w:val="none"/>
          <w:lang w:eastAsia="zh-CN"/>
        </w:rPr>
        <w:t>托育</w:t>
      </w:r>
      <w:r>
        <w:rPr>
          <w:rFonts w:hint="default" w:ascii="Times New Roman" w:hAnsi="Times New Roman" w:eastAsia="仿宋" w:cs="Times New Roman"/>
          <w:color w:val="auto"/>
          <w:sz w:val="32"/>
          <w:szCs w:val="32"/>
          <w:highlight w:val="none"/>
        </w:rPr>
        <w:t>服务。</w:t>
      </w:r>
      <w:r>
        <w:rPr>
          <w:rFonts w:hint="default" w:ascii="Times New Roman" w:hAnsi="Times New Roman" w:eastAsia="仿宋" w:cs="Times New Roman"/>
          <w:color w:val="auto"/>
          <w:kern w:val="2"/>
          <w:sz w:val="32"/>
          <w:szCs w:val="32"/>
          <w:lang w:val="en-US" w:eastAsia="zh-CN" w:bidi="ar-SA"/>
        </w:rPr>
        <w:t>（市财政局、市发改委、市民政局、市卫健委、市市场监管局按职责分工负责）</w:t>
      </w:r>
    </w:p>
    <w:p w14:paraId="67184E93">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sz w:val="32"/>
          <w:szCs w:val="32"/>
          <w:lang w:val="en-US" w:eastAsia="zh-CN"/>
        </w:rPr>
        <w:t>（六）加强规范监管。</w:t>
      </w:r>
      <w:r>
        <w:rPr>
          <w:rFonts w:hint="default" w:ascii="Times New Roman" w:hAnsi="Times New Roman" w:eastAsia="仿宋" w:cs="Times New Roman"/>
          <w:color w:val="auto"/>
          <w:sz w:val="32"/>
          <w:szCs w:val="32"/>
          <w:lang w:val="en-US" w:eastAsia="zh-CN"/>
        </w:rPr>
        <w:t>完善养老托育综合监管体系，强化政府监管责任，压实机构主体责任，构建以信用为基础的新型监管机制。落实职权部门在制度建设、行业规划、登记备案、行政执法等方面的监管责任。养老托育机构承担依法登记、备案承诺、履约服务、质量安全、应急管理、消防安全等方面的主体责任。将养老托育服务机构相关信息纳入公共信息共享平台、企业信用信息公示系统等信用信息平台，实行守信激励和失信惩戒，强化社会监督。逐步实行工作人员职业资格准入制度，依法依规建立个人记录“黑名单”和行业终身禁入制度，对虐童、虐待老人等行为零容忍，对相关个人和直接管理人员实行终身禁入。</w:t>
      </w:r>
      <w:r>
        <w:rPr>
          <w:rFonts w:hint="default" w:ascii="Times New Roman" w:hAnsi="Times New Roman" w:eastAsia="仿宋" w:cs="Times New Roman"/>
          <w:color w:val="auto"/>
          <w:kern w:val="2"/>
          <w:sz w:val="32"/>
          <w:szCs w:val="32"/>
          <w:lang w:val="en-US" w:eastAsia="zh-CN" w:bidi="ar-SA"/>
        </w:rPr>
        <w:t>（市民政局、市卫健委、市市场监管局、市住建局、市应急管理局、市消防救援支队按职责分工负责）</w:t>
      </w:r>
    </w:p>
    <w:p w14:paraId="28C0E0AE">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（七）营造友好环境。</w:t>
      </w:r>
      <w:r>
        <w:rPr>
          <w:rFonts w:hint="default" w:ascii="Times New Roman" w:hAnsi="Times New Roman" w:eastAsia="仿宋" w:cs="Times New Roman"/>
          <w:color w:val="auto"/>
          <w:sz w:val="32"/>
          <w:szCs w:val="32"/>
        </w:rPr>
        <w:t>积极开展养老托育宣传教育活动，传承弘扬中华民族尊老爱幼传统美德，发挥好家庭在养老</w:t>
      </w:r>
      <w:r>
        <w:rPr>
          <w:rFonts w:hint="default" w:ascii="Times New Roman" w:hAnsi="Times New Roman" w:eastAsia="仿宋" w:cs="Times New Roman"/>
          <w:color w:val="auto"/>
          <w:sz w:val="32"/>
          <w:szCs w:val="32"/>
          <w:lang w:val="en-US" w:eastAsia="zh-CN"/>
        </w:rPr>
        <w:t>托育</w:t>
      </w:r>
      <w:r>
        <w:rPr>
          <w:rFonts w:hint="default" w:ascii="Times New Roman" w:hAnsi="Times New Roman" w:eastAsia="仿宋" w:cs="Times New Roman"/>
          <w:color w:val="auto"/>
          <w:sz w:val="32"/>
          <w:szCs w:val="32"/>
        </w:rPr>
        <w:t>中的基础作用，营造家庭、社会、政府共同参与的良好氛围。加强适老、母婴设施配套建设，培育一批“一老一小”活力发展城市和社区。全</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机场、车站、商场、医院等公共场所应普遍设置母婴、老年专席及绿色通道</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鼓励有条件的地区结合城镇老旧小区改造加装电梯，</w:t>
      </w:r>
      <w:r>
        <w:rPr>
          <w:rFonts w:hint="default" w:ascii="Times New Roman" w:hAnsi="Times New Roman" w:eastAsia="仿宋" w:cs="Times New Roman"/>
          <w:color w:val="auto"/>
          <w:kern w:val="0"/>
          <w:sz w:val="32"/>
          <w:szCs w:val="32"/>
          <w:lang w:val="en-US" w:eastAsia="zh-CN" w:bidi="zh-CN"/>
        </w:rPr>
        <w:t>实施居家适老化改造工程，到2025年，围绕施工改造、设施配备、老年用品配置等内容，采取政府补贴方式，对特殊困难的高龄、失能、残疾等老年人家庭进行居家适老化改造。</w:t>
      </w:r>
      <w:r>
        <w:rPr>
          <w:rFonts w:hint="default" w:ascii="Times New Roman" w:hAnsi="Times New Roman" w:eastAsia="仿宋" w:cs="Times New Roman"/>
          <w:color w:val="auto"/>
          <w:kern w:val="2"/>
          <w:sz w:val="32"/>
          <w:szCs w:val="32"/>
          <w:lang w:val="en-US" w:eastAsia="zh-CN" w:bidi="ar-SA"/>
        </w:rPr>
        <w:t>（牵头单位：市民政局、市卫健委，责任单位：市住建局、市交通运输局）</w:t>
      </w:r>
    </w:p>
    <w:p w14:paraId="2A4E3113">
      <w:pPr>
        <w:pStyle w:val="11"/>
        <w:keepNext w:val="0"/>
        <w:keepLines w:val="0"/>
        <w:pageBreakBefore w:val="0"/>
        <w:numPr>
          <w:ilvl w:val="0"/>
          <w:numId w:val="0"/>
        </w:numPr>
        <w:kinsoku/>
        <w:wordWrap/>
        <w:overflowPunct/>
        <w:topLinePunct w:val="0"/>
        <w:autoSpaceDE w:val="0"/>
        <w:autoSpaceDN w:val="0"/>
        <w:bidi w:val="0"/>
        <w:adjustRightInd/>
        <w:snapToGrid/>
        <w:spacing w:line="560" w:lineRule="exact"/>
        <w:textAlignment w:val="auto"/>
        <w:rPr>
          <w:rFonts w:hint="default" w:ascii="Times New Roman" w:hAnsi="Times New Roman" w:eastAsia="仿宋" w:cs="Times New Roman"/>
          <w:b/>
          <w:bCs/>
          <w:color w:val="auto"/>
          <w:kern w:val="2"/>
          <w:sz w:val="32"/>
          <w:szCs w:val="32"/>
          <w:lang w:val="en-US" w:eastAsia="zh-CN" w:bidi="ar-SA"/>
        </w:rPr>
      </w:pPr>
    </w:p>
    <w:bookmarkEnd w:id="69"/>
    <w:bookmarkEnd w:id="70"/>
    <w:bookmarkEnd w:id="71"/>
    <w:bookmarkEnd w:id="72"/>
    <w:p w14:paraId="23CD4B78">
      <w:pPr>
        <w:pStyle w:val="9"/>
        <w:keepNext w:val="0"/>
        <w:keepLines w:val="0"/>
        <w:pageBreakBefore w:val="0"/>
        <w:kinsoku/>
        <w:wordWrap/>
        <w:overflowPunct/>
        <w:topLinePunct w:val="0"/>
        <w:autoSpaceDE w:val="0"/>
        <w:autoSpaceDN w:val="0"/>
        <w:bidi w:val="0"/>
        <w:adjustRightInd/>
        <w:snapToGrid/>
        <w:spacing w:line="560" w:lineRule="exact"/>
        <w:ind w:left="0" w:leftChars="0"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bookmarkStart w:id="75" w:name="_Toc31144"/>
      <w:bookmarkStart w:id="76" w:name="_Toc27060"/>
      <w:bookmarkStart w:id="77" w:name="_Toc27602"/>
      <w:bookmarkStart w:id="78" w:name="_Toc1290"/>
      <w:bookmarkStart w:id="79" w:name="_Toc17565"/>
      <w:r>
        <w:rPr>
          <w:rFonts w:hint="default" w:ascii="Times New Roman" w:hAnsi="Times New Roman" w:eastAsia="仿宋" w:cs="Times New Roman"/>
          <w:color w:val="auto"/>
          <w:sz w:val="32"/>
          <w:szCs w:val="32"/>
          <w:lang w:val="en-US" w:eastAsia="zh-CN"/>
        </w:rPr>
        <w:t xml:space="preserve"> </w:t>
      </w:r>
      <w:bookmarkStart w:id="80" w:name="_Toc31034"/>
      <w:r>
        <w:rPr>
          <w:rFonts w:hint="default" w:ascii="Times New Roman" w:hAnsi="Times New Roman" w:eastAsia="仿宋" w:cs="Times New Roman"/>
          <w:b w:val="0"/>
          <w:bCs w:val="0"/>
          <w:color w:val="auto"/>
          <w:sz w:val="32"/>
          <w:szCs w:val="32"/>
          <w:lang w:val="en-US" w:eastAsia="zh-CN"/>
        </w:rPr>
        <w:t>附件： 1、重大政策清单</w:t>
      </w:r>
      <w:bookmarkEnd w:id="75"/>
      <w:bookmarkEnd w:id="76"/>
      <w:bookmarkEnd w:id="77"/>
      <w:bookmarkEnd w:id="78"/>
      <w:bookmarkEnd w:id="79"/>
      <w:bookmarkEnd w:id="80"/>
    </w:p>
    <w:p w14:paraId="4DD2D797">
      <w:pPr>
        <w:pStyle w:val="9"/>
        <w:keepNext w:val="0"/>
        <w:keepLines w:val="0"/>
        <w:pageBreakBefore w:val="0"/>
        <w:kinsoku/>
        <w:wordWrap/>
        <w:overflowPunct/>
        <w:topLinePunct w:val="0"/>
        <w:autoSpaceDE w:val="0"/>
        <w:autoSpaceDN w:val="0"/>
        <w:bidi w:val="0"/>
        <w:adjustRightInd/>
        <w:snapToGrid/>
        <w:spacing w:line="560" w:lineRule="exact"/>
        <w:ind w:left="0" w:leftChars="0" w:firstLine="1920" w:firstLineChars="600"/>
        <w:textAlignment w:val="auto"/>
        <w:outlineLvl w:val="0"/>
        <w:rPr>
          <w:rFonts w:hint="default" w:ascii="Times New Roman" w:hAnsi="Times New Roman" w:eastAsia="仿宋" w:cs="Times New Roman"/>
          <w:b w:val="0"/>
          <w:bCs w:val="0"/>
          <w:color w:val="auto"/>
          <w:sz w:val="32"/>
          <w:szCs w:val="32"/>
          <w:lang w:val="en-US" w:eastAsia="zh-CN"/>
        </w:rPr>
      </w:pPr>
      <w:bookmarkStart w:id="81" w:name="_Toc23901"/>
      <w:r>
        <w:rPr>
          <w:rFonts w:hint="default" w:ascii="Times New Roman" w:hAnsi="Times New Roman" w:eastAsia="仿宋" w:cs="Times New Roman"/>
          <w:b w:val="0"/>
          <w:bCs w:val="0"/>
          <w:color w:val="auto"/>
          <w:sz w:val="32"/>
          <w:szCs w:val="32"/>
          <w:lang w:val="en-US" w:eastAsia="zh-CN"/>
        </w:rPr>
        <w:t>2、重大项目清单</w:t>
      </w:r>
      <w:bookmarkEnd w:id="81"/>
    </w:p>
    <w:p w14:paraId="3CE5B57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outlineLvl w:val="9"/>
        <w:rPr>
          <w:rFonts w:hint="default" w:ascii="Times New Roman" w:hAnsi="Times New Roman" w:eastAsia="黑体" w:cs="Times New Roman"/>
          <w:b w:val="0"/>
          <w:bCs w:val="0"/>
          <w:color w:val="auto"/>
          <w:sz w:val="28"/>
          <w:szCs w:val="28"/>
          <w:lang w:val="en-US" w:eastAsia="zh-CN"/>
        </w:rPr>
      </w:pPr>
      <w:r>
        <w:rPr>
          <w:rFonts w:hint="default" w:ascii="Times New Roman" w:hAnsi="Times New Roman" w:cs="Times New Roman"/>
          <w:color w:val="auto"/>
          <w:lang w:val="en-US" w:eastAsia="zh-CN"/>
        </w:rPr>
        <w:br w:type="page"/>
      </w:r>
      <w:bookmarkStart w:id="82" w:name="_Toc22724"/>
      <w:bookmarkStart w:id="83" w:name="_Toc2200"/>
      <w:bookmarkStart w:id="84" w:name="_Toc26"/>
      <w:bookmarkStart w:id="85" w:name="_Toc9947"/>
      <w:bookmarkStart w:id="86" w:name="_Toc2187"/>
      <w:r>
        <w:rPr>
          <w:rFonts w:hint="default" w:ascii="Times New Roman" w:hAnsi="Times New Roman" w:eastAsia="黑体" w:cs="Times New Roman"/>
          <w:b w:val="0"/>
          <w:bCs w:val="0"/>
          <w:color w:val="auto"/>
          <w:sz w:val="28"/>
          <w:szCs w:val="28"/>
          <w:lang w:val="en-US" w:eastAsia="zh-CN"/>
        </w:rPr>
        <w:t>附件1</w:t>
      </w:r>
      <w:bookmarkEnd w:id="82"/>
      <w:bookmarkEnd w:id="83"/>
      <w:bookmarkEnd w:id="84"/>
      <w:bookmarkEnd w:id="85"/>
      <w:bookmarkEnd w:id="86"/>
    </w:p>
    <w:p w14:paraId="3FE0896A">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华文楷体" w:cs="Times New Roman"/>
          <w:b/>
          <w:bCs/>
          <w:color w:val="auto"/>
          <w:sz w:val="36"/>
          <w:szCs w:val="36"/>
          <w:lang w:val="en-US" w:eastAsia="zh-CN"/>
        </w:rPr>
      </w:pPr>
      <w:r>
        <w:rPr>
          <w:rFonts w:hint="default" w:ascii="Times New Roman" w:hAnsi="Times New Roman" w:eastAsia="华文楷体" w:cs="Times New Roman"/>
          <w:b/>
          <w:bCs/>
          <w:color w:val="auto"/>
          <w:sz w:val="36"/>
          <w:szCs w:val="36"/>
          <w:lang w:val="en-US" w:eastAsia="zh-CN"/>
        </w:rPr>
        <w:t>重大政策清单</w:t>
      </w:r>
    </w:p>
    <w:tbl>
      <w:tblPr>
        <w:tblStyle w:val="17"/>
        <w:tblpPr w:leftFromText="180" w:rightFromText="180" w:vertAnchor="text" w:horzAnchor="page" w:tblpX="1488" w:tblpY="389"/>
        <w:tblOverlap w:val="never"/>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899"/>
        <w:gridCol w:w="4923"/>
        <w:gridCol w:w="1461"/>
        <w:gridCol w:w="1603"/>
      </w:tblGrid>
      <w:tr w14:paraId="009B4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387DB0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序号</w:t>
            </w:r>
          </w:p>
        </w:tc>
        <w:tc>
          <w:tcPr>
            <w:tcW w:w="476" w:type="pct"/>
            <w:tcBorders>
              <w:tl2br w:val="nil"/>
              <w:tr2bl w:val="nil"/>
            </w:tcBorders>
            <w:noWrap w:val="0"/>
            <w:vAlign w:val="center"/>
          </w:tcPr>
          <w:p w14:paraId="075B43F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政策</w:t>
            </w:r>
          </w:p>
          <w:p w14:paraId="5FBDBBD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名称</w:t>
            </w:r>
          </w:p>
        </w:tc>
        <w:tc>
          <w:tcPr>
            <w:tcW w:w="2607" w:type="pct"/>
            <w:tcBorders>
              <w:tl2br w:val="nil"/>
              <w:tr2bl w:val="nil"/>
            </w:tcBorders>
            <w:noWrap w:val="0"/>
            <w:vAlign w:val="center"/>
          </w:tcPr>
          <w:p w14:paraId="4A064C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重点工作举措和内容</w:t>
            </w:r>
          </w:p>
        </w:tc>
        <w:tc>
          <w:tcPr>
            <w:tcW w:w="774" w:type="pct"/>
            <w:tcBorders>
              <w:tl2br w:val="nil"/>
              <w:tr2bl w:val="nil"/>
            </w:tcBorders>
            <w:noWrap w:val="0"/>
            <w:vAlign w:val="center"/>
          </w:tcPr>
          <w:p w14:paraId="1FC7112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牵头</w:t>
            </w:r>
            <w:r>
              <w:rPr>
                <w:rFonts w:hint="default" w:ascii="Times New Roman" w:hAnsi="Times New Roman" w:eastAsia="仿宋_GB2312" w:cs="Times New Roman"/>
                <w:b/>
                <w:bCs/>
                <w:color w:val="auto"/>
                <w:sz w:val="24"/>
                <w:szCs w:val="24"/>
                <w:vertAlign w:val="baseline"/>
                <w:lang w:val="en-US" w:eastAsia="zh-CN"/>
              </w:rPr>
              <w:t>单位</w:t>
            </w:r>
          </w:p>
        </w:tc>
        <w:tc>
          <w:tcPr>
            <w:tcW w:w="849" w:type="pct"/>
            <w:tcBorders>
              <w:tl2br w:val="nil"/>
              <w:tr2bl w:val="nil"/>
            </w:tcBorders>
            <w:noWrap w:val="0"/>
            <w:vAlign w:val="center"/>
          </w:tcPr>
          <w:p w14:paraId="0B0D09E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责任单位</w:t>
            </w:r>
          </w:p>
        </w:tc>
      </w:tr>
      <w:tr w14:paraId="5DCC2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2" w:type="pct"/>
            <w:tcBorders>
              <w:tl2br w:val="nil"/>
              <w:tr2bl w:val="nil"/>
            </w:tcBorders>
            <w:noWrap w:val="0"/>
            <w:vAlign w:val="center"/>
          </w:tcPr>
          <w:p w14:paraId="5257D7D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476" w:type="pct"/>
            <w:vMerge w:val="restart"/>
            <w:tcBorders>
              <w:tl2br w:val="nil"/>
              <w:tr2bl w:val="nil"/>
            </w:tcBorders>
            <w:noWrap w:val="0"/>
            <w:vAlign w:val="center"/>
          </w:tcPr>
          <w:p w14:paraId="2AB58BF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土地、规划政策</w:t>
            </w:r>
          </w:p>
        </w:tc>
        <w:tc>
          <w:tcPr>
            <w:tcW w:w="2607" w:type="pct"/>
            <w:tcBorders>
              <w:tl2br w:val="nil"/>
              <w:tr2bl w:val="nil"/>
            </w:tcBorders>
            <w:noWrap w:val="0"/>
            <w:vAlign w:val="center"/>
          </w:tcPr>
          <w:p w14:paraId="181159B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允许教育、医卫、福利、商服等用地类别用于发展养老托育服务，纳入国土空间规划和年度用地指标，区分营利性和非营利性，优先安排土地利用计划。</w:t>
            </w:r>
          </w:p>
        </w:tc>
        <w:tc>
          <w:tcPr>
            <w:tcW w:w="774" w:type="pct"/>
            <w:tcBorders>
              <w:tl2br w:val="nil"/>
              <w:tr2bl w:val="nil"/>
            </w:tcBorders>
            <w:noWrap w:val="0"/>
            <w:vAlign w:val="center"/>
          </w:tcPr>
          <w:p w14:paraId="3CC4778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5427EB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05FDE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292" w:type="pct"/>
            <w:tcBorders>
              <w:tl2br w:val="nil"/>
              <w:tr2bl w:val="nil"/>
            </w:tcBorders>
            <w:noWrap w:val="0"/>
            <w:vAlign w:val="center"/>
          </w:tcPr>
          <w:p w14:paraId="06DD012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476" w:type="pct"/>
            <w:vMerge w:val="continue"/>
            <w:tcBorders>
              <w:tl2br w:val="nil"/>
              <w:tr2bl w:val="nil"/>
            </w:tcBorders>
            <w:noWrap w:val="0"/>
            <w:vAlign w:val="center"/>
          </w:tcPr>
          <w:p w14:paraId="7E9D6D3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345D5C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对符合《划拨用地目录》的非营利性养老托育用地，可采取划拨方式予以保障。对不符合《划拨用地目录》的养老托育用地，以有偿使用方式予以保障，其有偿使用底价按教育、医卫、福利等用地评估价评估后确定。对与辖区政府签订落实普惠价格的养老托育机构，通过无偿划拨土地、低价购买、</w:t>
            </w:r>
            <w:r>
              <w:rPr>
                <w:rFonts w:hint="default" w:ascii="Times New Roman" w:hAnsi="Times New Roman" w:cs="Times New Roman"/>
                <w:color w:val="auto"/>
                <w:kern w:val="2"/>
                <w:sz w:val="24"/>
                <w:szCs w:val="24"/>
                <w:lang w:val="en-US" w:eastAsia="zh-CN" w:bidi="ar"/>
              </w:rPr>
              <w:t>低价</w:t>
            </w:r>
            <w:r>
              <w:rPr>
                <w:rFonts w:hint="default" w:ascii="Times New Roman" w:hAnsi="Times New Roman" w:eastAsia="仿宋_GB2312" w:cs="Times New Roman"/>
                <w:color w:val="auto"/>
                <w:kern w:val="2"/>
                <w:sz w:val="24"/>
                <w:szCs w:val="24"/>
                <w:lang w:val="en-US" w:eastAsia="zh-CN" w:bidi="ar"/>
              </w:rPr>
              <w:t>租赁</w:t>
            </w:r>
            <w:r>
              <w:rPr>
                <w:rFonts w:hint="default" w:ascii="Times New Roman" w:hAnsi="Times New Roman" w:cs="Times New Roman"/>
                <w:color w:val="auto"/>
                <w:kern w:val="2"/>
                <w:sz w:val="24"/>
                <w:szCs w:val="24"/>
                <w:lang w:val="en-US" w:eastAsia="zh-CN" w:bidi="ar"/>
              </w:rPr>
              <w:t>等</w:t>
            </w:r>
            <w:r>
              <w:rPr>
                <w:rFonts w:hint="default" w:ascii="Times New Roman" w:hAnsi="Times New Roman" w:eastAsia="仿宋_GB2312" w:cs="Times New Roman"/>
                <w:color w:val="auto"/>
                <w:kern w:val="2"/>
                <w:sz w:val="24"/>
                <w:szCs w:val="24"/>
                <w:lang w:val="en-US" w:eastAsia="zh-CN" w:bidi="ar"/>
              </w:rPr>
              <w:t>方式补齐与同等情况下市场化养老托育</w:t>
            </w:r>
            <w:r>
              <w:rPr>
                <w:rFonts w:hint="default" w:ascii="Times New Roman" w:hAnsi="Times New Roman" w:cs="Times New Roman"/>
                <w:color w:val="auto"/>
                <w:kern w:val="2"/>
                <w:sz w:val="24"/>
                <w:szCs w:val="24"/>
                <w:lang w:val="en-US" w:eastAsia="zh-CN" w:bidi="ar"/>
              </w:rPr>
              <w:t>收费标准的差额</w:t>
            </w:r>
            <w:r>
              <w:rPr>
                <w:rFonts w:hint="default" w:ascii="Times New Roman" w:hAnsi="Times New Roman" w:eastAsia="仿宋_GB2312" w:cs="Times New Roman"/>
                <w:color w:val="auto"/>
                <w:kern w:val="2"/>
                <w:sz w:val="24"/>
                <w:szCs w:val="24"/>
                <w:lang w:val="en-US" w:eastAsia="zh-CN" w:bidi="ar"/>
              </w:rPr>
              <w:t>。出让方式取得的土地可以抵押。</w:t>
            </w:r>
          </w:p>
        </w:tc>
        <w:tc>
          <w:tcPr>
            <w:tcW w:w="774" w:type="pct"/>
            <w:tcBorders>
              <w:tl2br w:val="nil"/>
              <w:tr2bl w:val="nil"/>
            </w:tcBorders>
            <w:noWrap w:val="0"/>
            <w:vAlign w:val="center"/>
          </w:tcPr>
          <w:p w14:paraId="786A2B0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92385E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1D4D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92" w:type="pct"/>
            <w:tcBorders>
              <w:tl2br w:val="nil"/>
              <w:tr2bl w:val="nil"/>
            </w:tcBorders>
            <w:noWrap w:val="0"/>
            <w:vAlign w:val="center"/>
          </w:tcPr>
          <w:p w14:paraId="7663060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3</w:t>
            </w:r>
          </w:p>
        </w:tc>
        <w:tc>
          <w:tcPr>
            <w:tcW w:w="476" w:type="pct"/>
            <w:vMerge w:val="continue"/>
            <w:tcBorders>
              <w:tl2br w:val="nil"/>
              <w:tr2bl w:val="nil"/>
            </w:tcBorders>
            <w:noWrap w:val="0"/>
            <w:vAlign w:val="center"/>
          </w:tcPr>
          <w:p w14:paraId="2B79769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p>
        </w:tc>
        <w:tc>
          <w:tcPr>
            <w:tcW w:w="2607" w:type="pct"/>
            <w:tcBorders>
              <w:tl2br w:val="nil"/>
              <w:tr2bl w:val="nil"/>
            </w:tcBorders>
            <w:noWrap w:val="0"/>
            <w:vAlign w:val="center"/>
          </w:tcPr>
          <w:p w14:paraId="64C540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在新建居住区规划、建设养老托育服务设施及配套安全设施，与住宅同步规划、同步建设、同步验收、同步交付。</w:t>
            </w:r>
          </w:p>
        </w:tc>
        <w:tc>
          <w:tcPr>
            <w:tcW w:w="774" w:type="pct"/>
            <w:tcBorders>
              <w:tl2br w:val="nil"/>
              <w:tr2bl w:val="nil"/>
            </w:tcBorders>
            <w:noWrap w:val="0"/>
            <w:vAlign w:val="center"/>
          </w:tcPr>
          <w:p w14:paraId="09AE4D4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bidi="zh-CN"/>
              </w:rPr>
              <w:t>市住建局</w:t>
            </w:r>
          </w:p>
        </w:tc>
        <w:tc>
          <w:tcPr>
            <w:tcW w:w="849" w:type="pct"/>
            <w:tcBorders>
              <w:tl2br w:val="nil"/>
              <w:tr2bl w:val="nil"/>
            </w:tcBorders>
            <w:noWrap w:val="0"/>
            <w:vAlign w:val="center"/>
          </w:tcPr>
          <w:p w14:paraId="735B572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7071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6C8311F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476" w:type="pct"/>
            <w:vMerge w:val="continue"/>
            <w:tcBorders>
              <w:tl2br w:val="nil"/>
              <w:tr2bl w:val="nil"/>
            </w:tcBorders>
            <w:noWrap w:val="0"/>
            <w:vAlign w:val="center"/>
          </w:tcPr>
          <w:p w14:paraId="083C59C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06A9857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创造条件允许在不调整规划的情况下，利用城镇现有闲置且符合卫生、防护等标准的设施进行改造建设，举办养老托育服务机构。涉及到土地手续的，可先建设后变更土地使用性质。</w:t>
            </w:r>
          </w:p>
        </w:tc>
        <w:tc>
          <w:tcPr>
            <w:tcW w:w="774" w:type="pct"/>
            <w:tcBorders>
              <w:tl2br w:val="nil"/>
              <w:tr2bl w:val="nil"/>
            </w:tcBorders>
            <w:noWrap w:val="0"/>
            <w:vAlign w:val="center"/>
          </w:tcPr>
          <w:p w14:paraId="055FAF4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69DF89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6040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92" w:type="pct"/>
            <w:tcBorders>
              <w:tl2br w:val="nil"/>
              <w:tr2bl w:val="nil"/>
            </w:tcBorders>
            <w:noWrap w:val="0"/>
            <w:vAlign w:val="center"/>
          </w:tcPr>
          <w:p w14:paraId="074E99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476" w:type="pct"/>
            <w:vMerge w:val="continue"/>
            <w:tcBorders>
              <w:tl2br w:val="nil"/>
              <w:tr2bl w:val="nil"/>
            </w:tcBorders>
            <w:noWrap w:val="0"/>
            <w:vAlign w:val="center"/>
          </w:tcPr>
          <w:p w14:paraId="69EF09B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25ACFB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 xml:space="preserve">可使用村集体建设用地用于托育机构建设，由企业与村集体约定土地使用和利益分配方案。 </w:t>
            </w:r>
          </w:p>
        </w:tc>
        <w:tc>
          <w:tcPr>
            <w:tcW w:w="774" w:type="pct"/>
            <w:tcBorders>
              <w:tl2br w:val="nil"/>
              <w:tr2bl w:val="nil"/>
            </w:tcBorders>
            <w:noWrap w:val="0"/>
            <w:vAlign w:val="center"/>
          </w:tcPr>
          <w:p w14:paraId="68570B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w:t>
            </w:r>
            <w:r>
              <w:rPr>
                <w:rFonts w:hint="default" w:ascii="Times New Roman" w:hAnsi="Times New Roman" w:cs="Times New Roman"/>
                <w:color w:val="auto"/>
                <w:sz w:val="24"/>
                <w:szCs w:val="24"/>
                <w:vertAlign w:val="baseline"/>
                <w:lang w:val="en-US" w:eastAsia="zh-CN"/>
              </w:rPr>
              <w:t>农牧</w:t>
            </w:r>
            <w:r>
              <w:rPr>
                <w:rFonts w:hint="default" w:ascii="Times New Roman" w:hAnsi="Times New Roman" w:eastAsia="仿宋_GB2312" w:cs="Times New Roman"/>
                <w:color w:val="auto"/>
                <w:sz w:val="24"/>
                <w:szCs w:val="24"/>
                <w:vertAlign w:val="baseline"/>
                <w:lang w:val="en-US" w:eastAsia="zh-CN"/>
              </w:rPr>
              <w:t>局</w:t>
            </w:r>
            <w:r>
              <w:rPr>
                <w:rFonts w:hint="default" w:ascii="Times New Roman" w:hAnsi="Times New Roman" w:cs="Times New Roman"/>
                <w:color w:val="auto"/>
                <w:sz w:val="24"/>
                <w:szCs w:val="24"/>
                <w:vertAlign w:val="baseline"/>
                <w:lang w:val="en-US" w:eastAsia="zh-CN"/>
              </w:rPr>
              <w:t>（乡村振兴局）</w:t>
            </w:r>
          </w:p>
        </w:tc>
        <w:tc>
          <w:tcPr>
            <w:tcW w:w="849" w:type="pct"/>
            <w:tcBorders>
              <w:tl2br w:val="nil"/>
              <w:tr2bl w:val="nil"/>
            </w:tcBorders>
            <w:noWrap w:val="0"/>
            <w:vAlign w:val="center"/>
          </w:tcPr>
          <w:p w14:paraId="67B5E74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r>
              <w:rPr>
                <w:rFonts w:hint="default" w:ascii="Times New Roman" w:hAnsi="Times New Roman" w:eastAsia="仿宋_GB2312" w:cs="Times New Roman"/>
                <w:color w:val="auto"/>
                <w:sz w:val="24"/>
                <w:szCs w:val="24"/>
                <w:vertAlign w:val="baseline"/>
                <w:lang w:val="en-US" w:eastAsia="zh-CN"/>
              </w:rPr>
              <w:t>市自然资源局</w:t>
            </w:r>
          </w:p>
        </w:tc>
      </w:tr>
      <w:tr w14:paraId="42B0E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92" w:type="pct"/>
            <w:tcBorders>
              <w:tl2br w:val="nil"/>
              <w:tr2bl w:val="nil"/>
            </w:tcBorders>
            <w:noWrap w:val="0"/>
            <w:vAlign w:val="center"/>
          </w:tcPr>
          <w:p w14:paraId="3B7AE1D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p>
        </w:tc>
        <w:tc>
          <w:tcPr>
            <w:tcW w:w="476" w:type="pct"/>
            <w:vMerge w:val="continue"/>
            <w:tcBorders>
              <w:tl2br w:val="nil"/>
              <w:tr2bl w:val="nil"/>
            </w:tcBorders>
            <w:noWrap w:val="0"/>
            <w:vAlign w:val="center"/>
          </w:tcPr>
          <w:p w14:paraId="3B0F90B4">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907C5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对</w:t>
            </w:r>
            <w:r>
              <w:rPr>
                <w:rFonts w:hint="default" w:ascii="Times New Roman" w:hAnsi="Times New Roman" w:cs="Times New Roman"/>
                <w:color w:val="auto"/>
                <w:kern w:val="2"/>
                <w:sz w:val="24"/>
                <w:szCs w:val="24"/>
                <w:lang w:val="en-US" w:eastAsia="zh-CN" w:bidi="ar"/>
              </w:rPr>
              <w:t>闲置的</w:t>
            </w:r>
            <w:r>
              <w:rPr>
                <w:rFonts w:hint="default" w:ascii="Times New Roman" w:hAnsi="Times New Roman" w:eastAsia="仿宋_GB2312" w:cs="Times New Roman"/>
                <w:color w:val="auto"/>
                <w:kern w:val="2"/>
                <w:sz w:val="24"/>
                <w:szCs w:val="24"/>
                <w:lang w:val="en-US" w:eastAsia="zh-CN" w:bidi="ar"/>
              </w:rPr>
              <w:t>符合规划的国有资产场所</w:t>
            </w:r>
            <w:r>
              <w:rPr>
                <w:rFonts w:hint="default" w:ascii="Times New Roman" w:hAnsi="Times New Roman" w:cs="Times New Roman"/>
                <w:color w:val="auto"/>
                <w:kern w:val="2"/>
                <w:sz w:val="24"/>
                <w:szCs w:val="24"/>
                <w:lang w:val="en-US" w:eastAsia="zh-CN" w:bidi="ar"/>
              </w:rPr>
              <w:t>无偿或低偿</w:t>
            </w:r>
            <w:r>
              <w:rPr>
                <w:rFonts w:hint="default" w:ascii="Times New Roman" w:hAnsi="Times New Roman" w:eastAsia="仿宋_GB2312" w:cs="Times New Roman"/>
                <w:color w:val="auto"/>
                <w:kern w:val="2"/>
                <w:sz w:val="24"/>
                <w:szCs w:val="24"/>
                <w:lang w:val="en-US" w:eastAsia="zh-CN" w:bidi="ar"/>
              </w:rPr>
              <w:t>安排用于养老托育服务。</w:t>
            </w:r>
          </w:p>
        </w:tc>
        <w:tc>
          <w:tcPr>
            <w:tcW w:w="774" w:type="pct"/>
            <w:tcBorders>
              <w:tl2br w:val="nil"/>
              <w:tr2bl w:val="nil"/>
            </w:tcBorders>
            <w:noWrap w:val="0"/>
            <w:vAlign w:val="center"/>
          </w:tcPr>
          <w:p w14:paraId="5C6A942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市</w:t>
            </w:r>
            <w:r>
              <w:rPr>
                <w:rFonts w:hint="default" w:ascii="Times New Roman" w:hAnsi="Times New Roman" w:cs="Times New Roman"/>
                <w:color w:val="auto"/>
                <w:sz w:val="24"/>
                <w:szCs w:val="24"/>
                <w:vertAlign w:val="baseline"/>
                <w:lang w:val="en-US" w:eastAsia="zh-CN"/>
              </w:rPr>
              <w:t>财政局</w:t>
            </w:r>
          </w:p>
        </w:tc>
        <w:tc>
          <w:tcPr>
            <w:tcW w:w="849" w:type="pct"/>
            <w:tcBorders>
              <w:tl2br w:val="nil"/>
              <w:tr2bl w:val="nil"/>
            </w:tcBorders>
            <w:noWrap w:val="0"/>
            <w:vAlign w:val="center"/>
          </w:tcPr>
          <w:p w14:paraId="2A6EDA1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eastAsia" w:cs="Times New Roman"/>
                <w:color w:val="auto"/>
                <w:kern w:val="2"/>
                <w:sz w:val="24"/>
                <w:szCs w:val="24"/>
                <w:lang w:val="en-US" w:eastAsia="zh-CN" w:bidi="ar"/>
              </w:rPr>
              <w:t>、</w:t>
            </w:r>
            <w:r>
              <w:rPr>
                <w:rFonts w:hint="default" w:ascii="Times New Roman" w:hAnsi="Times New Roman" w:cs="Times New Roman"/>
                <w:color w:val="auto"/>
                <w:sz w:val="24"/>
                <w:szCs w:val="24"/>
                <w:vertAlign w:val="baseline"/>
                <w:lang w:val="en-US" w:eastAsia="zh-CN"/>
              </w:rPr>
              <w:t>市民社局</w:t>
            </w:r>
          </w:p>
        </w:tc>
      </w:tr>
      <w:tr w14:paraId="008F7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2" w:type="pct"/>
            <w:tcBorders>
              <w:tl2br w:val="nil"/>
              <w:tr2bl w:val="nil"/>
            </w:tcBorders>
            <w:noWrap w:val="0"/>
            <w:vAlign w:val="center"/>
          </w:tcPr>
          <w:p w14:paraId="62D31B7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w:t>
            </w:r>
          </w:p>
        </w:tc>
        <w:tc>
          <w:tcPr>
            <w:tcW w:w="476" w:type="pct"/>
            <w:vMerge w:val="restart"/>
            <w:tcBorders>
              <w:tl2br w:val="nil"/>
              <w:tr2bl w:val="nil"/>
            </w:tcBorders>
            <w:noWrap w:val="0"/>
            <w:vAlign w:val="center"/>
          </w:tcPr>
          <w:p w14:paraId="10A4F86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报批建设政策</w:t>
            </w:r>
          </w:p>
          <w:p w14:paraId="050D4B2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44A8B2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全面放开养老</w:t>
            </w:r>
            <w:r>
              <w:rPr>
                <w:rFonts w:hint="default" w:ascii="Times New Roman" w:hAnsi="Times New Roman" w:cs="Times New Roman"/>
                <w:color w:val="auto"/>
                <w:kern w:val="2"/>
                <w:sz w:val="24"/>
                <w:szCs w:val="24"/>
                <w:lang w:val="en-US" w:eastAsia="zh-CN" w:bidi="ar"/>
              </w:rPr>
              <w:t>托育</w:t>
            </w:r>
            <w:r>
              <w:rPr>
                <w:rFonts w:hint="default" w:ascii="Times New Roman" w:hAnsi="Times New Roman" w:eastAsia="仿宋_GB2312" w:cs="Times New Roman"/>
                <w:color w:val="auto"/>
                <w:kern w:val="2"/>
                <w:sz w:val="24"/>
                <w:szCs w:val="24"/>
                <w:lang w:val="en-US" w:eastAsia="zh-CN" w:bidi="ar"/>
              </w:rPr>
              <w:t>服务市场，优化营商环境，通过政策引导激发市场主体积极性和社会力量广泛参与，通过政府主导、社会参与、中介服务、实体承办的运作方式，增加多层次、多样化的养老托育服务供给，培育一批各具特色、管理规范、服务标准的重点企业和养老托育品牌</w:t>
            </w:r>
            <w:r>
              <w:rPr>
                <w:rFonts w:hint="default" w:ascii="Times New Roman" w:hAnsi="Times New Roman" w:cs="Times New Roman"/>
                <w:color w:val="auto"/>
                <w:kern w:val="2"/>
                <w:sz w:val="24"/>
                <w:szCs w:val="24"/>
                <w:lang w:val="en-US" w:eastAsia="zh-CN" w:bidi="ar"/>
              </w:rPr>
              <w:t>。</w:t>
            </w:r>
          </w:p>
        </w:tc>
        <w:tc>
          <w:tcPr>
            <w:tcW w:w="774" w:type="pct"/>
            <w:tcBorders>
              <w:tl2br w:val="nil"/>
              <w:tr2bl w:val="nil"/>
            </w:tcBorders>
            <w:noWrap w:val="0"/>
            <w:vAlign w:val="center"/>
          </w:tcPr>
          <w:p w14:paraId="3C0F8E0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市民政局、市卫健委</w:t>
            </w:r>
          </w:p>
        </w:tc>
        <w:tc>
          <w:tcPr>
            <w:tcW w:w="849" w:type="pct"/>
            <w:tcBorders>
              <w:tl2br w:val="nil"/>
              <w:tr2bl w:val="nil"/>
            </w:tcBorders>
            <w:noWrap w:val="0"/>
            <w:vAlign w:val="center"/>
          </w:tcPr>
          <w:p w14:paraId="389D0CC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w:t>
            </w:r>
          </w:p>
        </w:tc>
      </w:tr>
      <w:tr w14:paraId="4419D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92" w:type="pct"/>
            <w:tcBorders>
              <w:tl2br w:val="nil"/>
              <w:tr2bl w:val="nil"/>
            </w:tcBorders>
            <w:noWrap w:val="0"/>
            <w:vAlign w:val="center"/>
          </w:tcPr>
          <w:p w14:paraId="343773D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8</w:t>
            </w:r>
          </w:p>
        </w:tc>
        <w:tc>
          <w:tcPr>
            <w:tcW w:w="476" w:type="pct"/>
            <w:vMerge w:val="continue"/>
            <w:tcBorders>
              <w:tl2br w:val="nil"/>
              <w:tr2bl w:val="nil"/>
            </w:tcBorders>
            <w:noWrap w:val="0"/>
            <w:vAlign w:val="center"/>
          </w:tcPr>
          <w:p w14:paraId="477E7D9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7EB03F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依法简化养老托育服务登记备案程序，建立多部门开办手续一站式办理的绿色通道，切实缩短企业办证时间。对开展连锁型养老托育机构新开设单个服务实体的，达到备案条件的，可在登记部门实行备案制，不再单独报批。</w:t>
            </w:r>
          </w:p>
        </w:tc>
        <w:tc>
          <w:tcPr>
            <w:tcW w:w="774" w:type="pct"/>
            <w:tcBorders>
              <w:tl2br w:val="nil"/>
              <w:tr2bl w:val="nil"/>
            </w:tcBorders>
            <w:noWrap w:val="0"/>
            <w:vAlign w:val="center"/>
          </w:tcPr>
          <w:p w14:paraId="0B4E83F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市民政局、</w:t>
            </w:r>
          </w:p>
          <w:p w14:paraId="5C19B6E4">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市场监督</w:t>
            </w:r>
            <w:r>
              <w:rPr>
                <w:rFonts w:hint="default" w:ascii="Times New Roman" w:hAnsi="Times New Roman" w:cs="Times New Roman"/>
                <w:color w:val="auto"/>
                <w:sz w:val="24"/>
                <w:szCs w:val="24"/>
                <w:vertAlign w:val="baseline"/>
                <w:lang w:val="en-US" w:eastAsia="zh-CN"/>
              </w:rPr>
              <w:t>管理</w:t>
            </w:r>
            <w:r>
              <w:rPr>
                <w:rFonts w:hint="default" w:ascii="Times New Roman" w:hAnsi="Times New Roman" w:eastAsia="仿宋_GB2312" w:cs="Times New Roman"/>
                <w:color w:val="auto"/>
                <w:sz w:val="24"/>
                <w:szCs w:val="24"/>
                <w:vertAlign w:val="baseline"/>
                <w:lang w:val="en-US" w:eastAsia="zh-CN"/>
              </w:rPr>
              <w:t>局</w:t>
            </w:r>
          </w:p>
          <w:p w14:paraId="20397DE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市卫健委</w:t>
            </w:r>
          </w:p>
        </w:tc>
        <w:tc>
          <w:tcPr>
            <w:tcW w:w="849" w:type="pct"/>
            <w:tcBorders>
              <w:tl2br w:val="nil"/>
              <w:tr2bl w:val="nil"/>
            </w:tcBorders>
            <w:noWrap w:val="0"/>
            <w:vAlign w:val="center"/>
          </w:tcPr>
          <w:p w14:paraId="528B738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市民社局</w:t>
            </w:r>
          </w:p>
          <w:p w14:paraId="204F957E">
            <w:pPr>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市</w:t>
            </w:r>
            <w:r>
              <w:rPr>
                <w:rFonts w:hint="default" w:ascii="Times New Roman" w:hAnsi="Times New Roman" w:eastAsia="仿宋_GB2312" w:cs="Times New Roman"/>
                <w:color w:val="auto"/>
                <w:kern w:val="2"/>
                <w:sz w:val="24"/>
                <w:szCs w:val="24"/>
                <w:lang w:val="en-US" w:eastAsia="zh-CN" w:bidi="ar"/>
              </w:rPr>
              <w:t>卫健委、</w:t>
            </w:r>
          </w:p>
          <w:p w14:paraId="6FD109E9">
            <w:pPr>
              <w:rPr>
                <w:rFonts w:hint="default" w:ascii="Times New Roman" w:hAnsi="Times New Roman" w:cs="Times New Roman"/>
                <w:lang w:val="en-US" w:eastAsia="zh-CN"/>
              </w:rPr>
            </w:pPr>
          </w:p>
        </w:tc>
      </w:tr>
      <w:tr w14:paraId="258A2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92" w:type="pct"/>
            <w:tcBorders>
              <w:tl2br w:val="nil"/>
              <w:tr2bl w:val="nil"/>
            </w:tcBorders>
            <w:noWrap w:val="0"/>
            <w:vAlign w:val="center"/>
          </w:tcPr>
          <w:p w14:paraId="1B63374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9</w:t>
            </w:r>
          </w:p>
        </w:tc>
        <w:tc>
          <w:tcPr>
            <w:tcW w:w="476" w:type="pct"/>
            <w:vMerge w:val="continue"/>
            <w:tcBorders>
              <w:tl2br w:val="nil"/>
              <w:tr2bl w:val="nil"/>
            </w:tcBorders>
            <w:noWrap w:val="0"/>
            <w:vAlign w:val="center"/>
          </w:tcPr>
          <w:p w14:paraId="099AEC4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D7250A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做好养老托育机构消防审批服务，建立工作</w:t>
            </w:r>
            <w:r>
              <w:rPr>
                <w:rFonts w:hint="default" w:ascii="Times New Roman" w:hAnsi="Times New Roman" w:cs="Times New Roman"/>
                <w:color w:val="auto"/>
                <w:kern w:val="2"/>
                <w:sz w:val="24"/>
                <w:szCs w:val="24"/>
                <w:lang w:val="en-US" w:eastAsia="zh-CN" w:bidi="ar"/>
              </w:rPr>
              <w:t>联络</w:t>
            </w:r>
            <w:r>
              <w:rPr>
                <w:rFonts w:hint="default" w:ascii="Times New Roman" w:hAnsi="Times New Roman" w:eastAsia="仿宋_GB2312" w:cs="Times New Roman"/>
                <w:color w:val="auto"/>
                <w:kern w:val="2"/>
                <w:sz w:val="24"/>
                <w:szCs w:val="24"/>
                <w:lang w:val="en-US" w:eastAsia="zh-CN" w:bidi="ar"/>
              </w:rPr>
              <w:t>机制。</w:t>
            </w:r>
          </w:p>
        </w:tc>
        <w:tc>
          <w:tcPr>
            <w:tcW w:w="774" w:type="pct"/>
            <w:tcBorders>
              <w:tl2br w:val="nil"/>
              <w:tr2bl w:val="nil"/>
            </w:tcBorders>
            <w:noWrap w:val="0"/>
            <w:vAlign w:val="center"/>
          </w:tcPr>
          <w:p w14:paraId="55BC67D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市</w:t>
            </w:r>
            <w:r>
              <w:rPr>
                <w:rFonts w:hint="default" w:ascii="Times New Roman" w:hAnsi="Times New Roman" w:cs="Times New Roman"/>
                <w:color w:val="auto"/>
                <w:sz w:val="24"/>
                <w:szCs w:val="24"/>
                <w:lang w:val="en-US" w:eastAsia="zh-CN" w:bidi="zh-CN"/>
              </w:rPr>
              <w:t>住建</w:t>
            </w:r>
            <w:r>
              <w:rPr>
                <w:rFonts w:hint="default" w:ascii="Times New Roman" w:hAnsi="Times New Roman" w:eastAsia="仿宋_GB2312" w:cs="Times New Roman"/>
                <w:color w:val="auto"/>
                <w:sz w:val="24"/>
                <w:szCs w:val="24"/>
                <w:lang w:val="en-US" w:eastAsia="zh-CN" w:bidi="zh-CN"/>
              </w:rPr>
              <w:t>局</w:t>
            </w:r>
          </w:p>
        </w:tc>
        <w:tc>
          <w:tcPr>
            <w:tcW w:w="849" w:type="pct"/>
            <w:tcBorders>
              <w:tl2br w:val="nil"/>
              <w:tr2bl w:val="nil"/>
            </w:tcBorders>
            <w:noWrap w:val="0"/>
            <w:vAlign w:val="center"/>
          </w:tcPr>
          <w:p w14:paraId="1686C8C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市公安局、市应急管理局、消防救援大队</w:t>
            </w:r>
          </w:p>
        </w:tc>
      </w:tr>
      <w:tr w14:paraId="65647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92" w:type="pct"/>
            <w:tcBorders>
              <w:tl2br w:val="nil"/>
              <w:tr2bl w:val="nil"/>
            </w:tcBorders>
            <w:noWrap w:val="0"/>
            <w:vAlign w:val="center"/>
          </w:tcPr>
          <w:p w14:paraId="379A2EF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10</w:t>
            </w:r>
          </w:p>
        </w:tc>
        <w:tc>
          <w:tcPr>
            <w:tcW w:w="476" w:type="pct"/>
            <w:vMerge w:val="restart"/>
            <w:tcBorders>
              <w:tl2br w:val="nil"/>
              <w:tr2bl w:val="nil"/>
            </w:tcBorders>
            <w:noWrap w:val="0"/>
            <w:vAlign w:val="center"/>
          </w:tcPr>
          <w:p w14:paraId="1F8494B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人才支持政策</w:t>
            </w:r>
          </w:p>
          <w:p w14:paraId="4C9BEEC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336E175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推进</w:t>
            </w:r>
            <w:r>
              <w:rPr>
                <w:rFonts w:hint="default" w:ascii="Times New Roman" w:hAnsi="Times New Roman" w:cs="Times New Roman"/>
                <w:color w:val="auto"/>
                <w:kern w:val="2"/>
                <w:sz w:val="24"/>
                <w:szCs w:val="24"/>
                <w:lang w:val="en-US" w:eastAsia="zh-CN" w:bidi="ar"/>
              </w:rPr>
              <w:t>内蒙古师范大学二连浩特国际学院</w:t>
            </w:r>
            <w:r>
              <w:rPr>
                <w:rFonts w:hint="default" w:ascii="Times New Roman" w:hAnsi="Times New Roman" w:eastAsia="仿宋_GB2312" w:cs="Times New Roman"/>
                <w:color w:val="auto"/>
                <w:kern w:val="2"/>
                <w:sz w:val="24"/>
                <w:szCs w:val="24"/>
                <w:lang w:val="en-US" w:eastAsia="zh-CN" w:bidi="ar"/>
              </w:rPr>
              <w:t>开设养老托育人才培养专业，培育相关管理、技术技能型应用人才。</w:t>
            </w:r>
          </w:p>
        </w:tc>
        <w:tc>
          <w:tcPr>
            <w:tcW w:w="774" w:type="pct"/>
            <w:tcBorders>
              <w:tl2br w:val="nil"/>
              <w:tr2bl w:val="nil"/>
            </w:tcBorders>
            <w:noWrap w:val="0"/>
            <w:vAlign w:val="center"/>
          </w:tcPr>
          <w:p w14:paraId="6286E438">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市教体局</w:t>
            </w:r>
          </w:p>
        </w:tc>
        <w:tc>
          <w:tcPr>
            <w:tcW w:w="849" w:type="pct"/>
            <w:tcBorders>
              <w:tl2br w:val="nil"/>
              <w:tr2bl w:val="nil"/>
            </w:tcBorders>
            <w:noWrap w:val="0"/>
            <w:vAlign w:val="center"/>
          </w:tcPr>
          <w:p w14:paraId="5A5DDB1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二连浩特国际学院、市发改委、市、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17A2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92" w:type="pct"/>
            <w:tcBorders>
              <w:tl2br w:val="nil"/>
              <w:tr2bl w:val="nil"/>
            </w:tcBorders>
            <w:noWrap w:val="0"/>
            <w:vAlign w:val="center"/>
          </w:tcPr>
          <w:p w14:paraId="36EC0D0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11</w:t>
            </w:r>
          </w:p>
        </w:tc>
        <w:tc>
          <w:tcPr>
            <w:tcW w:w="476" w:type="pct"/>
            <w:vMerge w:val="continue"/>
            <w:tcBorders>
              <w:tl2br w:val="nil"/>
              <w:tr2bl w:val="nil"/>
            </w:tcBorders>
            <w:noWrap w:val="0"/>
            <w:vAlign w:val="center"/>
          </w:tcPr>
          <w:p w14:paraId="7B13C5A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C5F77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将托育从业人员列入急需紧缺职业（工种）目录和政府补贴性培训目录，</w:t>
            </w:r>
            <w:r>
              <w:rPr>
                <w:rFonts w:hint="default" w:ascii="Times New Roman" w:hAnsi="Times New Roman" w:cs="Times New Roman"/>
                <w:color w:val="auto"/>
                <w:kern w:val="2"/>
                <w:sz w:val="24"/>
                <w:szCs w:val="24"/>
                <w:lang w:val="en-US" w:eastAsia="zh-CN" w:bidi="ar"/>
              </w:rPr>
              <w:t>招聘专业技术人员，</w:t>
            </w:r>
            <w:r>
              <w:rPr>
                <w:rFonts w:hint="default" w:ascii="Times New Roman" w:hAnsi="Times New Roman" w:eastAsia="仿宋_GB2312" w:cs="Times New Roman"/>
                <w:color w:val="auto"/>
                <w:kern w:val="2"/>
                <w:sz w:val="24"/>
                <w:szCs w:val="24"/>
                <w:lang w:val="en-US" w:eastAsia="zh-CN" w:bidi="ar"/>
              </w:rPr>
              <w:t>把健康管理师、护理员、育婴员、保育员等纳入当地政府职业技能培训计划，按规定落实职业培训补贴。</w:t>
            </w:r>
          </w:p>
        </w:tc>
        <w:tc>
          <w:tcPr>
            <w:tcW w:w="774" w:type="pct"/>
            <w:tcBorders>
              <w:tl2br w:val="nil"/>
              <w:tr2bl w:val="nil"/>
            </w:tcBorders>
            <w:noWrap w:val="0"/>
            <w:vAlign w:val="center"/>
          </w:tcPr>
          <w:p w14:paraId="2B788C4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p>
        </w:tc>
        <w:tc>
          <w:tcPr>
            <w:tcW w:w="849" w:type="pct"/>
            <w:tcBorders>
              <w:tl2br w:val="nil"/>
              <w:tr2bl w:val="nil"/>
            </w:tcBorders>
            <w:noWrap w:val="0"/>
            <w:vAlign w:val="center"/>
          </w:tcPr>
          <w:p w14:paraId="3A81810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74F56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92" w:type="pct"/>
            <w:tcBorders>
              <w:tl2br w:val="nil"/>
              <w:tr2bl w:val="nil"/>
            </w:tcBorders>
            <w:noWrap w:val="0"/>
            <w:vAlign w:val="center"/>
          </w:tcPr>
          <w:p w14:paraId="27D58D8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12</w:t>
            </w:r>
          </w:p>
        </w:tc>
        <w:tc>
          <w:tcPr>
            <w:tcW w:w="476" w:type="pct"/>
            <w:vMerge w:val="continue"/>
            <w:tcBorders>
              <w:tl2br w:val="nil"/>
              <w:tr2bl w:val="nil"/>
            </w:tcBorders>
            <w:noWrap w:val="0"/>
            <w:vAlign w:val="center"/>
          </w:tcPr>
          <w:p w14:paraId="47CFB9E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6CE616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rPr>
              <w:t>对吸纳符合条件劳动者的养老托育机构按规定给予社保补贴。</w:t>
            </w:r>
          </w:p>
        </w:tc>
        <w:tc>
          <w:tcPr>
            <w:tcW w:w="774" w:type="pct"/>
            <w:tcBorders>
              <w:tl2br w:val="nil"/>
              <w:tr2bl w:val="nil"/>
            </w:tcBorders>
            <w:noWrap w:val="0"/>
            <w:vAlign w:val="center"/>
          </w:tcPr>
          <w:p w14:paraId="2D3FB4C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p>
        </w:tc>
        <w:tc>
          <w:tcPr>
            <w:tcW w:w="849" w:type="pct"/>
            <w:tcBorders>
              <w:tl2br w:val="nil"/>
              <w:tr2bl w:val="nil"/>
            </w:tcBorders>
            <w:noWrap w:val="0"/>
            <w:vAlign w:val="center"/>
          </w:tcPr>
          <w:p w14:paraId="2D1E798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SA"/>
              </w:rPr>
              <w:t>卫健委</w:t>
            </w:r>
            <w:r>
              <w:rPr>
                <w:rFonts w:hint="default" w:ascii="Times New Roman" w:hAnsi="Times New Roman" w:cs="Times New Roman"/>
                <w:color w:val="auto"/>
                <w:sz w:val="24"/>
                <w:szCs w:val="24"/>
                <w:vertAlign w:val="baseline"/>
                <w:lang w:val="en-US" w:eastAsia="zh-CN"/>
              </w:rPr>
              <w:t>、市民社局</w:t>
            </w:r>
          </w:p>
        </w:tc>
      </w:tr>
      <w:tr w14:paraId="5981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92" w:type="pct"/>
            <w:tcBorders>
              <w:tl2br w:val="nil"/>
              <w:tr2bl w:val="nil"/>
            </w:tcBorders>
            <w:noWrap w:val="0"/>
            <w:vAlign w:val="center"/>
          </w:tcPr>
          <w:p w14:paraId="6CE026E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13</w:t>
            </w:r>
          </w:p>
        </w:tc>
        <w:tc>
          <w:tcPr>
            <w:tcW w:w="476" w:type="pct"/>
            <w:vMerge w:val="continue"/>
            <w:tcBorders>
              <w:tl2br w:val="nil"/>
              <w:tr2bl w:val="nil"/>
            </w:tcBorders>
            <w:noWrap w:val="0"/>
            <w:vAlign w:val="center"/>
          </w:tcPr>
          <w:p w14:paraId="4EFFC60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7DCE0A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鼓励执业医师到养老机构内设医疗机构多点执业，并在职称评定方面享受同等待遇。</w:t>
            </w:r>
            <w:r>
              <w:rPr>
                <w:rFonts w:hint="default" w:ascii="Times New Roman" w:hAnsi="Times New Roman" w:eastAsia="仿宋_GB2312" w:cs="Times New Roman"/>
                <w:color w:val="auto"/>
                <w:kern w:val="2"/>
                <w:sz w:val="24"/>
                <w:szCs w:val="24"/>
                <w:lang w:val="en-US" w:eastAsia="zh-CN" w:bidi="ar"/>
              </w:rPr>
              <w:t>养老托育机构可作为老年</w:t>
            </w:r>
            <w:r>
              <w:rPr>
                <w:rFonts w:hint="default" w:ascii="Times New Roman" w:hAnsi="Times New Roman" w:cs="Times New Roman"/>
                <w:color w:val="auto"/>
                <w:kern w:val="2"/>
                <w:sz w:val="24"/>
                <w:szCs w:val="24"/>
                <w:lang w:val="en-US" w:eastAsia="zh-CN" w:bidi="ar"/>
              </w:rPr>
              <w:t>医学</w:t>
            </w:r>
            <w:r>
              <w:rPr>
                <w:rFonts w:hint="default" w:ascii="Times New Roman" w:hAnsi="Times New Roman" w:eastAsia="仿宋_GB2312" w:cs="Times New Roman"/>
                <w:color w:val="auto"/>
                <w:kern w:val="2"/>
                <w:sz w:val="24"/>
                <w:szCs w:val="24"/>
                <w:lang w:val="en-US" w:eastAsia="zh-CN" w:bidi="ar"/>
              </w:rPr>
              <w:t>科、儿科等相关医护人员基层服务定点单位，服务时长作为基层服务时间，在医护人员申报专业技术高级职称时作为评分条件使用。</w:t>
            </w:r>
          </w:p>
        </w:tc>
        <w:tc>
          <w:tcPr>
            <w:tcW w:w="774" w:type="pct"/>
            <w:tcBorders>
              <w:tl2br w:val="nil"/>
              <w:tr2bl w:val="nil"/>
            </w:tcBorders>
            <w:noWrap w:val="0"/>
            <w:vAlign w:val="center"/>
          </w:tcPr>
          <w:p w14:paraId="16F1227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市卫健委</w:t>
            </w:r>
          </w:p>
        </w:tc>
        <w:tc>
          <w:tcPr>
            <w:tcW w:w="849" w:type="pct"/>
            <w:tcBorders>
              <w:tl2br w:val="nil"/>
              <w:tr2bl w:val="nil"/>
            </w:tcBorders>
            <w:noWrap w:val="0"/>
            <w:vAlign w:val="center"/>
          </w:tcPr>
          <w:p w14:paraId="558421F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市教体局</w:t>
            </w:r>
            <w:r>
              <w:rPr>
                <w:rFonts w:hint="default" w:ascii="Times New Roman" w:hAnsi="Times New Roman" w:cs="Times New Roman"/>
                <w:color w:val="auto"/>
                <w:sz w:val="24"/>
                <w:szCs w:val="24"/>
                <w:vertAlign w:val="baseline"/>
                <w:lang w:val="en-US" w:eastAsia="zh-CN"/>
              </w:rPr>
              <w:t>、市发改委、市民社局</w:t>
            </w:r>
          </w:p>
        </w:tc>
      </w:tr>
      <w:tr w14:paraId="43909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15022E3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14</w:t>
            </w:r>
          </w:p>
        </w:tc>
        <w:tc>
          <w:tcPr>
            <w:tcW w:w="476" w:type="pct"/>
            <w:vMerge w:val="restart"/>
            <w:tcBorders>
              <w:tl2br w:val="nil"/>
              <w:tr2bl w:val="nil"/>
            </w:tcBorders>
            <w:noWrap w:val="0"/>
            <w:vAlign w:val="center"/>
          </w:tcPr>
          <w:p w14:paraId="06DC955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财税补贴政策</w:t>
            </w:r>
          </w:p>
        </w:tc>
        <w:tc>
          <w:tcPr>
            <w:tcW w:w="2607" w:type="pct"/>
            <w:tcBorders>
              <w:tl2br w:val="nil"/>
              <w:tr2bl w:val="nil"/>
            </w:tcBorders>
            <w:noWrap w:val="0"/>
            <w:vAlign w:val="center"/>
          </w:tcPr>
          <w:p w14:paraId="6C377E7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营利性医疗机构可自行确定托育相关服务内容和收费标准。非营利性医疗机构提供的托育相关服务，属于治疗、护理、检查检验等医疗服务的，按现有项目价格收费；属于特需医疗服务的，按照特需医疗价格收费；属于婴幼儿照护、生活照料等非医疗股务的，不作为医疗服务价格项目管理，收费标准由医疗机构自主确定。</w:t>
            </w:r>
          </w:p>
        </w:tc>
        <w:tc>
          <w:tcPr>
            <w:tcW w:w="774" w:type="pct"/>
            <w:tcBorders>
              <w:tl2br w:val="nil"/>
              <w:tr2bl w:val="nil"/>
            </w:tcBorders>
            <w:noWrap w:val="0"/>
            <w:vAlign w:val="center"/>
          </w:tcPr>
          <w:p w14:paraId="646F87D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w:t>
            </w:r>
            <w:r>
              <w:rPr>
                <w:rFonts w:hint="default" w:ascii="Times New Roman" w:hAnsi="Times New Roman" w:cs="Times New Roman"/>
                <w:color w:val="auto"/>
                <w:sz w:val="24"/>
                <w:szCs w:val="24"/>
                <w:lang w:val="en-US" w:eastAsia="zh-CN"/>
              </w:rPr>
              <w:t>医保局</w:t>
            </w:r>
          </w:p>
        </w:tc>
        <w:tc>
          <w:tcPr>
            <w:tcW w:w="849" w:type="pct"/>
            <w:tcBorders>
              <w:tl2br w:val="nil"/>
              <w:tr2bl w:val="nil"/>
            </w:tcBorders>
            <w:noWrap w:val="0"/>
            <w:vAlign w:val="center"/>
          </w:tcPr>
          <w:p w14:paraId="6371F1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vertAlign w:val="baseline"/>
                <w:lang w:val="en-US" w:eastAsia="zh-CN"/>
              </w:rPr>
              <w:t>市发改委、市卫健委、市民社局</w:t>
            </w:r>
          </w:p>
        </w:tc>
      </w:tr>
      <w:tr w14:paraId="5623E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2" w:type="pct"/>
            <w:tcBorders>
              <w:tl2br w:val="nil"/>
              <w:tr2bl w:val="nil"/>
            </w:tcBorders>
            <w:noWrap w:val="0"/>
            <w:vAlign w:val="center"/>
          </w:tcPr>
          <w:p w14:paraId="4F5317F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5</w:t>
            </w:r>
          </w:p>
        </w:tc>
        <w:tc>
          <w:tcPr>
            <w:tcW w:w="476" w:type="pct"/>
            <w:vMerge w:val="continue"/>
            <w:tcBorders>
              <w:tl2br w:val="nil"/>
              <w:tr2bl w:val="nil"/>
            </w:tcBorders>
            <w:noWrap w:val="0"/>
            <w:vAlign w:val="center"/>
          </w:tcPr>
          <w:p w14:paraId="4BEB23D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2246284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支持符合条件的普惠</w:t>
            </w:r>
            <w:r>
              <w:rPr>
                <w:rFonts w:hint="default" w:ascii="Times New Roman" w:hAnsi="Times New Roman" w:cs="Times New Roman"/>
                <w:color w:val="auto"/>
                <w:kern w:val="2"/>
                <w:sz w:val="24"/>
                <w:szCs w:val="24"/>
                <w:lang w:val="en-US" w:eastAsia="zh-CN" w:bidi="ar"/>
              </w:rPr>
              <w:t>养老托育</w:t>
            </w:r>
            <w:r>
              <w:rPr>
                <w:rFonts w:hint="default" w:ascii="Times New Roman" w:hAnsi="Times New Roman" w:eastAsia="仿宋_GB2312" w:cs="Times New Roman"/>
                <w:color w:val="auto"/>
                <w:kern w:val="2"/>
                <w:sz w:val="24"/>
                <w:szCs w:val="24"/>
                <w:lang w:val="en-US" w:eastAsia="zh-CN" w:bidi="ar"/>
              </w:rPr>
              <w:t>机构申报中央预算内投资</w:t>
            </w:r>
            <w:r>
              <w:rPr>
                <w:rFonts w:hint="default" w:ascii="Times New Roman" w:hAnsi="Times New Roman" w:cs="Times New Roman"/>
                <w:color w:val="auto"/>
                <w:kern w:val="2"/>
                <w:sz w:val="24"/>
                <w:szCs w:val="24"/>
                <w:lang w:val="en-US" w:eastAsia="zh-CN" w:bidi="ar"/>
              </w:rPr>
              <w:t>项目资金</w:t>
            </w:r>
          </w:p>
        </w:tc>
        <w:tc>
          <w:tcPr>
            <w:tcW w:w="774" w:type="pct"/>
            <w:tcBorders>
              <w:tl2br w:val="nil"/>
              <w:tr2bl w:val="nil"/>
            </w:tcBorders>
            <w:noWrap w:val="0"/>
            <w:vAlign w:val="center"/>
          </w:tcPr>
          <w:p w14:paraId="2190EA2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p>
        </w:tc>
        <w:tc>
          <w:tcPr>
            <w:tcW w:w="849" w:type="pct"/>
            <w:tcBorders>
              <w:tl2br w:val="nil"/>
              <w:tr2bl w:val="nil"/>
            </w:tcBorders>
            <w:noWrap w:val="0"/>
            <w:vAlign w:val="center"/>
          </w:tcPr>
          <w:p w14:paraId="2AD44B5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0806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4B612D2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6</w:t>
            </w:r>
          </w:p>
        </w:tc>
        <w:tc>
          <w:tcPr>
            <w:tcW w:w="476" w:type="pct"/>
            <w:vMerge w:val="continue"/>
            <w:tcBorders>
              <w:tl2br w:val="nil"/>
              <w:tr2bl w:val="nil"/>
            </w:tcBorders>
            <w:noWrap w:val="0"/>
            <w:vAlign w:val="center"/>
          </w:tcPr>
          <w:p w14:paraId="335BBA88">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A5944C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
              </w:rPr>
              <w:t>发挥财政资金在支持养老托育服务方面的示范作用，确保税费优惠政策惠及市场主体。</w:t>
            </w:r>
          </w:p>
        </w:tc>
        <w:tc>
          <w:tcPr>
            <w:tcW w:w="774" w:type="pct"/>
            <w:tcBorders>
              <w:tl2br w:val="nil"/>
              <w:tr2bl w:val="nil"/>
            </w:tcBorders>
            <w:noWrap w:val="0"/>
            <w:vAlign w:val="center"/>
          </w:tcPr>
          <w:p w14:paraId="5CF79F2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r>
              <w:rPr>
                <w:rFonts w:hint="default" w:ascii="Times New Roman" w:hAnsi="Times New Roman" w:cs="Times New Roman"/>
                <w:color w:val="auto"/>
                <w:sz w:val="24"/>
                <w:szCs w:val="24"/>
                <w:lang w:val="en-US" w:eastAsia="zh-CN"/>
              </w:rPr>
              <w:t>、市税务局</w:t>
            </w:r>
          </w:p>
        </w:tc>
        <w:tc>
          <w:tcPr>
            <w:tcW w:w="849" w:type="pct"/>
            <w:tcBorders>
              <w:tl2br w:val="nil"/>
              <w:tr2bl w:val="nil"/>
            </w:tcBorders>
            <w:noWrap w:val="0"/>
            <w:vAlign w:val="center"/>
          </w:tcPr>
          <w:p w14:paraId="0CADCA4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E156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13942D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bidi="zh-CN"/>
              </w:rPr>
              <w:t>1</w:t>
            </w:r>
            <w:r>
              <w:rPr>
                <w:rFonts w:hint="default" w:ascii="Times New Roman" w:hAnsi="Times New Roman" w:cs="Times New Roman"/>
                <w:color w:val="auto"/>
                <w:sz w:val="24"/>
                <w:szCs w:val="24"/>
                <w:vertAlign w:val="baseline"/>
                <w:lang w:val="en-US" w:eastAsia="zh-CN" w:bidi="zh-CN"/>
              </w:rPr>
              <w:t>7</w:t>
            </w:r>
          </w:p>
        </w:tc>
        <w:tc>
          <w:tcPr>
            <w:tcW w:w="476" w:type="pct"/>
            <w:vMerge w:val="continue"/>
            <w:tcBorders>
              <w:tl2br w:val="nil"/>
              <w:tr2bl w:val="nil"/>
            </w:tcBorders>
            <w:noWrap w:val="0"/>
            <w:vAlign w:val="center"/>
          </w:tcPr>
          <w:p w14:paraId="14404C4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4A8DF963">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经有关部门批准的养老托育服务机构用水、用电、用气按居民类价格执行。</w:t>
            </w:r>
          </w:p>
        </w:tc>
        <w:tc>
          <w:tcPr>
            <w:tcW w:w="774" w:type="pct"/>
            <w:tcBorders>
              <w:tl2br w:val="nil"/>
              <w:tr2bl w:val="nil"/>
            </w:tcBorders>
            <w:noWrap w:val="0"/>
            <w:vAlign w:val="center"/>
          </w:tcPr>
          <w:p w14:paraId="329CFB9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市发改委</w:t>
            </w:r>
          </w:p>
        </w:tc>
        <w:tc>
          <w:tcPr>
            <w:tcW w:w="849" w:type="pct"/>
            <w:tcBorders>
              <w:tl2br w:val="nil"/>
              <w:tr2bl w:val="nil"/>
            </w:tcBorders>
            <w:noWrap w:val="0"/>
            <w:vAlign w:val="center"/>
          </w:tcPr>
          <w:p w14:paraId="4050828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市民社局</w:t>
            </w:r>
          </w:p>
        </w:tc>
      </w:tr>
      <w:tr w14:paraId="363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308BB8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8</w:t>
            </w:r>
          </w:p>
        </w:tc>
        <w:tc>
          <w:tcPr>
            <w:tcW w:w="476" w:type="pct"/>
            <w:vMerge w:val="restart"/>
            <w:tcBorders>
              <w:tl2br w:val="nil"/>
              <w:tr2bl w:val="nil"/>
            </w:tcBorders>
            <w:noWrap w:val="0"/>
            <w:vAlign w:val="center"/>
          </w:tcPr>
          <w:p w14:paraId="3B0A925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金融支持政策</w:t>
            </w:r>
          </w:p>
        </w:tc>
        <w:tc>
          <w:tcPr>
            <w:tcW w:w="2607" w:type="pct"/>
            <w:tcBorders>
              <w:tl2br w:val="nil"/>
              <w:tr2bl w:val="nil"/>
            </w:tcBorders>
            <w:noWrap w:val="0"/>
            <w:vAlign w:val="center"/>
          </w:tcPr>
          <w:p w14:paraId="16BD3700">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从事养老托育服务行业并符合条件的个人和小微企业可分别申请最高不超过20万元、300万元创业担保贷款，并按照规定贴息。</w:t>
            </w:r>
          </w:p>
        </w:tc>
        <w:tc>
          <w:tcPr>
            <w:tcW w:w="774" w:type="pct"/>
            <w:tcBorders>
              <w:tl2br w:val="nil"/>
              <w:tr2bl w:val="nil"/>
            </w:tcBorders>
            <w:noWrap w:val="0"/>
            <w:vAlign w:val="center"/>
          </w:tcPr>
          <w:p w14:paraId="4F6103C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bidi="zh-CN"/>
              </w:rPr>
              <w:t>市创业促进服务中心</w:t>
            </w:r>
          </w:p>
        </w:tc>
        <w:tc>
          <w:tcPr>
            <w:tcW w:w="849" w:type="pct"/>
            <w:tcBorders>
              <w:tl2br w:val="nil"/>
              <w:tr2bl w:val="nil"/>
            </w:tcBorders>
            <w:noWrap w:val="0"/>
            <w:vAlign w:val="center"/>
          </w:tcPr>
          <w:p w14:paraId="6BF7A6A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市人社局、市卫健委、</w:t>
            </w:r>
            <w:r>
              <w:rPr>
                <w:rFonts w:hint="default" w:ascii="Times New Roman" w:hAnsi="Times New Roman" w:cs="Times New Roman"/>
                <w:color w:val="auto"/>
                <w:sz w:val="24"/>
                <w:szCs w:val="24"/>
                <w:vertAlign w:val="baseline"/>
                <w:lang w:val="en-US" w:eastAsia="zh-CN"/>
              </w:rPr>
              <w:t>市发改、市民社局</w:t>
            </w:r>
          </w:p>
        </w:tc>
      </w:tr>
      <w:tr w14:paraId="4564A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BEA356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cs="Times New Roman"/>
                <w:color w:val="auto"/>
                <w:kern w:val="2"/>
                <w:sz w:val="24"/>
                <w:szCs w:val="24"/>
                <w:vertAlign w:val="baseline"/>
                <w:lang w:val="en-US" w:eastAsia="zh-CN" w:bidi="zh-CN"/>
              </w:rPr>
              <w:t>19</w:t>
            </w:r>
          </w:p>
        </w:tc>
        <w:tc>
          <w:tcPr>
            <w:tcW w:w="476" w:type="pct"/>
            <w:vMerge w:val="continue"/>
            <w:tcBorders>
              <w:tl2br w:val="nil"/>
              <w:tr2bl w:val="nil"/>
            </w:tcBorders>
            <w:noWrap w:val="0"/>
            <w:vAlign w:val="center"/>
          </w:tcPr>
          <w:p w14:paraId="4325440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3EA0C6BA">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鼓励商业银行向产权明晰的民办养老服务机构发放资产(设施)抵押贷款和应收账款质押贷款，允许营利性养老服务机构以有偿取得的土地、设施等资产进行抵押融资。对建设周期长、现金流稳定的养老服务项目,鼓励银行业金融机构适当延长贷款期限，灵活采取循环贷款、年审制、分期分段式等多种还款方式。</w:t>
            </w:r>
          </w:p>
        </w:tc>
        <w:tc>
          <w:tcPr>
            <w:tcW w:w="774" w:type="pct"/>
            <w:tcBorders>
              <w:tl2br w:val="nil"/>
              <w:tr2bl w:val="nil"/>
            </w:tcBorders>
            <w:noWrap w:val="0"/>
            <w:vAlign w:val="center"/>
          </w:tcPr>
          <w:p w14:paraId="618682D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市政府金融办、二连市人行、二连市银保监局</w:t>
            </w:r>
          </w:p>
        </w:tc>
        <w:tc>
          <w:tcPr>
            <w:tcW w:w="849" w:type="pct"/>
            <w:tcBorders>
              <w:tl2br w:val="nil"/>
              <w:tr2bl w:val="nil"/>
            </w:tcBorders>
            <w:noWrap w:val="0"/>
            <w:vAlign w:val="center"/>
          </w:tcPr>
          <w:p w14:paraId="2694806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5035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6E38D6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20</w:t>
            </w:r>
          </w:p>
        </w:tc>
        <w:tc>
          <w:tcPr>
            <w:tcW w:w="476" w:type="pct"/>
            <w:vMerge w:val="restart"/>
            <w:tcBorders>
              <w:tl2br w:val="nil"/>
              <w:tr2bl w:val="nil"/>
            </w:tcBorders>
            <w:noWrap w:val="0"/>
            <w:vAlign w:val="center"/>
          </w:tcPr>
          <w:p w14:paraId="127DC0B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其它支持政策</w:t>
            </w:r>
          </w:p>
        </w:tc>
        <w:tc>
          <w:tcPr>
            <w:tcW w:w="2607" w:type="pct"/>
            <w:tcBorders>
              <w:tl2br w:val="nil"/>
              <w:tr2bl w:val="nil"/>
            </w:tcBorders>
            <w:noWrap w:val="0"/>
            <w:vAlign w:val="center"/>
          </w:tcPr>
          <w:p w14:paraId="61856E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kern w:val="2"/>
                <w:sz w:val="24"/>
                <w:szCs w:val="24"/>
                <w:lang w:val="en-US" w:eastAsia="zh-CN" w:bidi="ar"/>
              </w:rPr>
              <w:t>卫健部门</w:t>
            </w:r>
            <w:r>
              <w:rPr>
                <w:rFonts w:hint="default" w:ascii="Times New Roman" w:hAnsi="Times New Roman" w:eastAsia="仿宋_GB2312" w:cs="Times New Roman"/>
                <w:color w:val="auto"/>
                <w:kern w:val="2"/>
                <w:sz w:val="24"/>
                <w:szCs w:val="24"/>
                <w:lang w:val="en-US" w:eastAsia="zh-CN" w:bidi="ar"/>
              </w:rPr>
              <w:t>及其医疗、卫生、保健机构对辖区内养老托育机构进行管理和医疗、老年健康管理、儿童保健、膳食营养、疾病防控等技术指导，为养老托育从业人员培训提供技术支持。支持医养融合服务机构的医务人员到二级以上医疗机构进修培训。</w:t>
            </w:r>
          </w:p>
        </w:tc>
        <w:tc>
          <w:tcPr>
            <w:tcW w:w="774" w:type="pct"/>
            <w:tcBorders>
              <w:tl2br w:val="nil"/>
              <w:tr2bl w:val="nil"/>
            </w:tcBorders>
            <w:noWrap w:val="0"/>
            <w:vAlign w:val="center"/>
          </w:tcPr>
          <w:p w14:paraId="3954C8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市卫健委</w:t>
            </w:r>
          </w:p>
          <w:p w14:paraId="226F6FCB">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ascii="Times New Roman" w:hAnsi="Times New Roman" w:eastAsia="仿宋_GB2312" w:cs="Times New Roman"/>
                <w:color w:val="auto"/>
                <w:sz w:val="24"/>
                <w:szCs w:val="24"/>
                <w:lang w:val="en-US" w:eastAsia="zh-CN" w:bidi="zh-CN"/>
              </w:rPr>
            </w:pPr>
          </w:p>
        </w:tc>
        <w:tc>
          <w:tcPr>
            <w:tcW w:w="849" w:type="pct"/>
            <w:tcBorders>
              <w:tl2br w:val="nil"/>
              <w:tr2bl w:val="nil"/>
            </w:tcBorders>
            <w:noWrap w:val="0"/>
            <w:vAlign w:val="center"/>
          </w:tcPr>
          <w:p w14:paraId="4E3AE0E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cs="Times New Roman"/>
                <w:color w:val="auto"/>
                <w:sz w:val="24"/>
                <w:szCs w:val="24"/>
                <w:vertAlign w:val="baseline"/>
                <w:lang w:val="en-US" w:eastAsia="zh-CN"/>
              </w:rPr>
              <w:t>市发改、市民社局</w:t>
            </w:r>
          </w:p>
        </w:tc>
      </w:tr>
      <w:tr w14:paraId="4F594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5383F9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2</w:t>
            </w:r>
            <w:r>
              <w:rPr>
                <w:rFonts w:hint="default" w:ascii="Times New Roman" w:hAnsi="Times New Roman" w:cs="Times New Roman"/>
                <w:color w:val="auto"/>
                <w:sz w:val="24"/>
                <w:szCs w:val="24"/>
                <w:vertAlign w:val="baseline"/>
                <w:lang w:val="en-US" w:eastAsia="zh-CN"/>
              </w:rPr>
              <w:t>1</w:t>
            </w:r>
          </w:p>
        </w:tc>
        <w:tc>
          <w:tcPr>
            <w:tcW w:w="476" w:type="pct"/>
            <w:vMerge w:val="continue"/>
            <w:tcBorders>
              <w:tl2br w:val="nil"/>
              <w:tr2bl w:val="nil"/>
            </w:tcBorders>
            <w:noWrap w:val="0"/>
            <w:vAlign w:val="center"/>
          </w:tcPr>
          <w:p w14:paraId="1BFCEC4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p>
        </w:tc>
        <w:tc>
          <w:tcPr>
            <w:tcW w:w="2607" w:type="pct"/>
            <w:tcBorders>
              <w:tl2br w:val="nil"/>
              <w:tr2bl w:val="nil"/>
            </w:tcBorders>
            <w:noWrap w:val="0"/>
            <w:vAlign w:val="center"/>
          </w:tcPr>
          <w:p w14:paraId="3D4F2B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开通养老机构和协议合作的医疗卫生机构双向转介绿色通道。鼓励医疗机构利用闲置床位开展养老护理服务，重点收住慢性病、失能、失智等老年人。</w:t>
            </w:r>
          </w:p>
        </w:tc>
        <w:tc>
          <w:tcPr>
            <w:tcW w:w="774" w:type="pct"/>
            <w:tcBorders>
              <w:tl2br w:val="nil"/>
              <w:tr2bl w:val="nil"/>
            </w:tcBorders>
            <w:noWrap w:val="0"/>
            <w:vAlign w:val="center"/>
          </w:tcPr>
          <w:p w14:paraId="185F8D6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市卫健委</w:t>
            </w:r>
          </w:p>
        </w:tc>
        <w:tc>
          <w:tcPr>
            <w:tcW w:w="849" w:type="pct"/>
            <w:tcBorders>
              <w:tl2br w:val="nil"/>
              <w:tr2bl w:val="nil"/>
            </w:tcBorders>
            <w:noWrap w:val="0"/>
            <w:vAlign w:val="center"/>
          </w:tcPr>
          <w:p w14:paraId="46650E1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cs="Times New Roman"/>
                <w:color w:val="auto"/>
                <w:sz w:val="24"/>
                <w:szCs w:val="24"/>
                <w:vertAlign w:val="baseline"/>
                <w:lang w:val="en-US" w:eastAsia="zh-CN"/>
              </w:rPr>
              <w:t>市发改、市民社局</w:t>
            </w:r>
          </w:p>
        </w:tc>
      </w:tr>
      <w:tr w14:paraId="54342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BC907F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22</w:t>
            </w:r>
          </w:p>
        </w:tc>
        <w:tc>
          <w:tcPr>
            <w:tcW w:w="476" w:type="pct"/>
            <w:vMerge w:val="continue"/>
            <w:tcBorders>
              <w:tl2br w:val="nil"/>
              <w:tr2bl w:val="nil"/>
            </w:tcBorders>
            <w:noWrap w:val="0"/>
            <w:vAlign w:val="center"/>
          </w:tcPr>
          <w:p w14:paraId="1CA1789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16AD80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符合条件的医养结合机构中医疗机构按规定纳入基本医疗保险定点范围。</w:t>
            </w:r>
          </w:p>
        </w:tc>
        <w:tc>
          <w:tcPr>
            <w:tcW w:w="774" w:type="pct"/>
            <w:tcBorders>
              <w:tl2br w:val="nil"/>
              <w:tr2bl w:val="nil"/>
            </w:tcBorders>
            <w:noWrap w:val="0"/>
            <w:vAlign w:val="center"/>
          </w:tcPr>
          <w:p w14:paraId="2DADE3F9">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市医保局</w:t>
            </w:r>
          </w:p>
        </w:tc>
        <w:tc>
          <w:tcPr>
            <w:tcW w:w="849" w:type="pct"/>
            <w:tcBorders>
              <w:tl2br w:val="nil"/>
              <w:tr2bl w:val="nil"/>
            </w:tcBorders>
            <w:noWrap w:val="0"/>
            <w:vAlign w:val="center"/>
          </w:tcPr>
          <w:p w14:paraId="3BDD639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4B584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406B7F5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23</w:t>
            </w:r>
          </w:p>
        </w:tc>
        <w:tc>
          <w:tcPr>
            <w:tcW w:w="476" w:type="pct"/>
            <w:vMerge w:val="continue"/>
            <w:tcBorders>
              <w:tl2br w:val="nil"/>
              <w:tr2bl w:val="nil"/>
            </w:tcBorders>
            <w:noWrap w:val="0"/>
            <w:vAlign w:val="center"/>
          </w:tcPr>
          <w:p w14:paraId="757067B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0D272F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推广托幼一体化办学管理模式。</w:t>
            </w:r>
          </w:p>
        </w:tc>
        <w:tc>
          <w:tcPr>
            <w:tcW w:w="774" w:type="pct"/>
            <w:tcBorders>
              <w:tl2br w:val="nil"/>
              <w:tr2bl w:val="nil"/>
            </w:tcBorders>
            <w:noWrap w:val="0"/>
            <w:vAlign w:val="center"/>
          </w:tcPr>
          <w:p w14:paraId="5B301E0D">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市教体局</w:t>
            </w:r>
          </w:p>
        </w:tc>
        <w:tc>
          <w:tcPr>
            <w:tcW w:w="849" w:type="pct"/>
            <w:tcBorders>
              <w:tl2br w:val="nil"/>
              <w:tr2bl w:val="nil"/>
            </w:tcBorders>
            <w:noWrap w:val="0"/>
            <w:vAlign w:val="center"/>
          </w:tcPr>
          <w:p w14:paraId="2106849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68CD1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7C710A3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24</w:t>
            </w:r>
          </w:p>
        </w:tc>
        <w:tc>
          <w:tcPr>
            <w:tcW w:w="476" w:type="pct"/>
            <w:tcBorders>
              <w:tl2br w:val="nil"/>
              <w:tr2bl w:val="nil"/>
            </w:tcBorders>
            <w:noWrap w:val="0"/>
            <w:vAlign w:val="center"/>
          </w:tcPr>
          <w:p w14:paraId="0AD1A2B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监督管理政策</w:t>
            </w:r>
          </w:p>
        </w:tc>
        <w:tc>
          <w:tcPr>
            <w:tcW w:w="2607" w:type="pct"/>
            <w:tcBorders>
              <w:tl2br w:val="nil"/>
              <w:tr2bl w:val="nil"/>
            </w:tcBorders>
            <w:noWrap w:val="0"/>
            <w:vAlign w:val="center"/>
          </w:tcPr>
          <w:p w14:paraId="2C2C3F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完善养老托育综合监管体系，强化政府监管责任，压实机构主体责任，构建以信用为基础的新型监管机制。落实职权部门在制度建设、行业规划、登记备案、行政执法等方面的监管责任。</w:t>
            </w:r>
          </w:p>
        </w:tc>
        <w:tc>
          <w:tcPr>
            <w:tcW w:w="774" w:type="pct"/>
            <w:tcBorders>
              <w:tl2br w:val="nil"/>
              <w:tr2bl w:val="nil"/>
            </w:tcBorders>
            <w:noWrap w:val="0"/>
            <w:vAlign w:val="center"/>
          </w:tcPr>
          <w:p w14:paraId="67E9E726">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市卫健委、市民政局</w:t>
            </w:r>
          </w:p>
        </w:tc>
        <w:tc>
          <w:tcPr>
            <w:tcW w:w="849" w:type="pct"/>
            <w:tcBorders>
              <w:tl2br w:val="nil"/>
              <w:tr2bl w:val="nil"/>
            </w:tcBorders>
            <w:noWrap w:val="0"/>
            <w:vAlign w:val="center"/>
          </w:tcPr>
          <w:p w14:paraId="418EF7D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rPr>
              <w:t>市发改委、</w:t>
            </w:r>
            <w:r>
              <w:rPr>
                <w:rFonts w:hint="default" w:ascii="Times New Roman" w:hAnsi="Times New Roman" w:cs="Times New Roman"/>
                <w:color w:val="auto"/>
                <w:sz w:val="24"/>
                <w:szCs w:val="24"/>
                <w:lang w:val="en-US" w:eastAsia="zh-CN"/>
              </w:rPr>
              <w:t>市住建局、</w:t>
            </w:r>
            <w:r>
              <w:rPr>
                <w:rFonts w:hint="default" w:ascii="Times New Roman" w:hAnsi="Times New Roman" w:eastAsia="仿宋_GB2312" w:cs="Times New Roman"/>
                <w:color w:val="auto"/>
                <w:sz w:val="24"/>
                <w:szCs w:val="24"/>
                <w:lang w:val="en-US" w:eastAsia="zh-CN"/>
              </w:rPr>
              <w:t>市自然资源局、市市场监管局</w:t>
            </w:r>
            <w:r>
              <w:rPr>
                <w:rFonts w:hint="default" w:ascii="Times New Roman" w:hAnsi="Times New Roman" w:cs="Times New Roman"/>
                <w:color w:val="auto"/>
                <w:sz w:val="24"/>
                <w:szCs w:val="24"/>
                <w:lang w:val="en-US" w:eastAsia="zh-CN"/>
              </w:rPr>
              <w:t>、</w:t>
            </w:r>
          </w:p>
        </w:tc>
      </w:tr>
    </w:tbl>
    <w:p w14:paraId="111F1A31">
      <w:pPr>
        <w:keepNext w:val="0"/>
        <w:keepLines w:val="0"/>
        <w:pageBreakBefore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color w:val="auto"/>
          <w:lang w:val="en-US" w:eastAsia="zh-CN"/>
        </w:rPr>
      </w:pPr>
    </w:p>
    <w:p w14:paraId="50CA5AA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default" w:ascii="Times New Roman" w:hAnsi="Times New Roman" w:eastAsia="宋体" w:cs="Times New Roman"/>
          <w:b/>
          <w:bCs/>
          <w:color w:val="auto"/>
          <w:sz w:val="28"/>
          <w:szCs w:val="28"/>
          <w:lang w:val="en-US" w:eastAsia="zh-CN"/>
        </w:rPr>
        <w:sectPr>
          <w:footerReference r:id="rId4" w:type="default"/>
          <w:pgSz w:w="11910" w:h="16840"/>
          <w:pgMar w:top="1580" w:right="1200" w:bottom="1900" w:left="1480" w:header="0" w:footer="1710" w:gutter="0"/>
          <w:pgBorders>
            <w:top w:val="none" w:sz="0" w:space="0"/>
            <w:left w:val="none" w:sz="0" w:space="0"/>
            <w:bottom w:val="none" w:sz="0" w:space="0"/>
            <w:right w:val="none" w:sz="0" w:space="0"/>
          </w:pgBorders>
          <w:pgNumType w:fmt="decimal" w:start="1"/>
          <w:cols w:space="720" w:num="1"/>
          <w:docGrid w:linePitch="299" w:charSpace="0"/>
        </w:sectPr>
      </w:pPr>
    </w:p>
    <w:p w14:paraId="622F913F">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left"/>
        <w:textAlignment w:val="auto"/>
        <w:outlineLvl w:val="9"/>
        <w:rPr>
          <w:rFonts w:hint="default" w:ascii="Times New Roman" w:hAnsi="Times New Roman" w:eastAsia="黑体" w:cs="Times New Roman"/>
          <w:b w:val="0"/>
          <w:bCs w:val="0"/>
          <w:color w:val="auto"/>
          <w:sz w:val="28"/>
          <w:szCs w:val="28"/>
          <w:lang w:val="en-US" w:eastAsia="zh-CN"/>
        </w:rPr>
      </w:pPr>
      <w:bookmarkStart w:id="87" w:name="_Toc3767"/>
      <w:bookmarkStart w:id="88" w:name="_Toc1142"/>
      <w:bookmarkStart w:id="89" w:name="_Toc30334"/>
      <w:bookmarkStart w:id="90" w:name="_Toc25954"/>
      <w:bookmarkStart w:id="91" w:name="_Toc25381"/>
      <w:bookmarkStart w:id="92" w:name="_Toc14484"/>
      <w:r>
        <w:rPr>
          <w:rFonts w:hint="default" w:ascii="Times New Roman" w:hAnsi="Times New Roman" w:eastAsia="黑体" w:cs="Times New Roman"/>
          <w:b w:val="0"/>
          <w:bCs w:val="0"/>
          <w:color w:val="auto"/>
          <w:sz w:val="28"/>
          <w:szCs w:val="28"/>
          <w:lang w:val="en-US" w:eastAsia="zh-CN"/>
        </w:rPr>
        <w:t>附件2</w:t>
      </w:r>
      <w:bookmarkEnd w:id="87"/>
      <w:bookmarkEnd w:id="88"/>
      <w:bookmarkEnd w:id="89"/>
      <w:bookmarkEnd w:id="90"/>
      <w:bookmarkEnd w:id="91"/>
      <w:bookmarkEnd w:id="92"/>
    </w:p>
    <w:p w14:paraId="67AEAEAD">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华文楷体" w:cs="Times New Roman"/>
          <w:b/>
          <w:bCs/>
          <w:color w:val="auto"/>
          <w:sz w:val="36"/>
          <w:szCs w:val="36"/>
          <w:lang w:val="en-US" w:eastAsia="zh-CN"/>
        </w:rPr>
      </w:pPr>
      <w:r>
        <w:rPr>
          <w:rFonts w:hint="default" w:ascii="Times New Roman" w:hAnsi="Times New Roman" w:eastAsia="华文楷体" w:cs="Times New Roman"/>
          <w:b/>
          <w:bCs/>
          <w:color w:val="auto"/>
          <w:sz w:val="36"/>
          <w:szCs w:val="36"/>
          <w:lang w:val="en-US" w:eastAsia="zh-CN"/>
        </w:rPr>
        <w:t>重大项目清单(2021-2025年)</w:t>
      </w:r>
    </w:p>
    <w:tbl>
      <w:tblPr>
        <w:tblStyle w:val="16"/>
        <w:tblW w:w="14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647"/>
        <w:gridCol w:w="1131"/>
        <w:gridCol w:w="1072"/>
        <w:gridCol w:w="1545"/>
        <w:gridCol w:w="3426"/>
        <w:gridCol w:w="936"/>
        <w:gridCol w:w="898"/>
        <w:gridCol w:w="1365"/>
        <w:gridCol w:w="1401"/>
      </w:tblGrid>
      <w:tr w14:paraId="7D54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529" w:type="dxa"/>
            <w:noWrap w:val="0"/>
            <w:vAlign w:val="center"/>
          </w:tcPr>
          <w:p w14:paraId="23F89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序号</w:t>
            </w:r>
          </w:p>
        </w:tc>
        <w:tc>
          <w:tcPr>
            <w:tcW w:w="2647" w:type="dxa"/>
            <w:noWrap w:val="0"/>
            <w:vAlign w:val="center"/>
          </w:tcPr>
          <w:p w14:paraId="41BDAD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项目名称</w:t>
            </w:r>
          </w:p>
        </w:tc>
        <w:tc>
          <w:tcPr>
            <w:tcW w:w="1131" w:type="dxa"/>
            <w:noWrap w:val="0"/>
            <w:vAlign w:val="center"/>
          </w:tcPr>
          <w:p w14:paraId="1FE3E7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项目类型</w:t>
            </w:r>
          </w:p>
        </w:tc>
        <w:tc>
          <w:tcPr>
            <w:tcW w:w="1072" w:type="dxa"/>
            <w:noWrap w:val="0"/>
            <w:vAlign w:val="center"/>
          </w:tcPr>
          <w:p w14:paraId="0FD420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建设期限</w:t>
            </w:r>
          </w:p>
        </w:tc>
        <w:tc>
          <w:tcPr>
            <w:tcW w:w="1545" w:type="dxa"/>
            <w:noWrap w:val="0"/>
            <w:vAlign w:val="center"/>
          </w:tcPr>
          <w:p w14:paraId="27D521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建设地点</w:t>
            </w:r>
          </w:p>
        </w:tc>
        <w:tc>
          <w:tcPr>
            <w:tcW w:w="3426" w:type="dxa"/>
            <w:noWrap w:val="0"/>
            <w:vAlign w:val="center"/>
          </w:tcPr>
          <w:p w14:paraId="00775A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建设内容和规模</w:t>
            </w:r>
          </w:p>
        </w:tc>
        <w:tc>
          <w:tcPr>
            <w:tcW w:w="936" w:type="dxa"/>
            <w:noWrap w:val="0"/>
            <w:vAlign w:val="center"/>
          </w:tcPr>
          <w:p w14:paraId="2E6912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总投资（万元）</w:t>
            </w:r>
          </w:p>
        </w:tc>
        <w:tc>
          <w:tcPr>
            <w:tcW w:w="898" w:type="dxa"/>
            <w:noWrap w:val="0"/>
            <w:vAlign w:val="center"/>
          </w:tcPr>
          <w:p w14:paraId="7783A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3"/>
                <w:szCs w:val="13"/>
                <w:u w:val="none"/>
                <w:lang w:val="en-US" w:eastAsia="zh-CN" w:bidi="ar"/>
              </w:rPr>
              <w:t>申请中央预算内投资</w:t>
            </w:r>
          </w:p>
        </w:tc>
        <w:tc>
          <w:tcPr>
            <w:tcW w:w="1365" w:type="dxa"/>
            <w:noWrap w:val="0"/>
            <w:vAlign w:val="center"/>
          </w:tcPr>
          <w:p w14:paraId="42A4C9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项目法人单位</w:t>
            </w:r>
          </w:p>
        </w:tc>
        <w:tc>
          <w:tcPr>
            <w:tcW w:w="1401" w:type="dxa"/>
            <w:noWrap w:val="0"/>
            <w:vAlign w:val="center"/>
          </w:tcPr>
          <w:p w14:paraId="4F105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日常监管单位</w:t>
            </w:r>
          </w:p>
        </w:tc>
      </w:tr>
      <w:tr w14:paraId="26E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950" w:type="dxa"/>
            <w:gridSpan w:val="10"/>
            <w:noWrap w:val="0"/>
            <w:vAlign w:val="center"/>
          </w:tcPr>
          <w:p w14:paraId="556488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一、“一老”专项</w:t>
            </w:r>
          </w:p>
        </w:tc>
      </w:tr>
      <w:tr w14:paraId="5AE4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29" w:type="dxa"/>
            <w:noWrap w:val="0"/>
            <w:vAlign w:val="center"/>
          </w:tcPr>
          <w:p w14:paraId="16DE7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647" w:type="dxa"/>
            <w:noWrap w:val="0"/>
            <w:vAlign w:val="center"/>
          </w:tcPr>
          <w:p w14:paraId="534144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二连浩特市北疆社区居家养老服务站</w:t>
            </w:r>
          </w:p>
        </w:tc>
        <w:tc>
          <w:tcPr>
            <w:tcW w:w="1131" w:type="dxa"/>
            <w:noWrap w:val="0"/>
            <w:vAlign w:val="center"/>
          </w:tcPr>
          <w:p w14:paraId="559F0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改扩建（社区）</w:t>
            </w:r>
          </w:p>
        </w:tc>
        <w:tc>
          <w:tcPr>
            <w:tcW w:w="1072" w:type="dxa"/>
            <w:noWrap w:val="0"/>
            <w:vAlign w:val="center"/>
          </w:tcPr>
          <w:p w14:paraId="5EFA9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2021年</w:t>
            </w:r>
          </w:p>
        </w:tc>
        <w:tc>
          <w:tcPr>
            <w:tcW w:w="1545" w:type="dxa"/>
            <w:noWrap w:val="0"/>
            <w:vAlign w:val="center"/>
          </w:tcPr>
          <w:p w14:paraId="0342E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78FC53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改造</w:t>
            </w:r>
            <w:r>
              <w:rPr>
                <w:rFonts w:hint="default" w:ascii="Times New Roman" w:hAnsi="Times New Roman" w:eastAsia="宋体" w:cs="Times New Roman"/>
                <w:i w:val="0"/>
                <w:iCs w:val="0"/>
                <w:color w:val="000000"/>
                <w:sz w:val="18"/>
                <w:szCs w:val="18"/>
                <w:u w:val="none"/>
              </w:rPr>
              <w:t>助餐、助医、助浴、助洁</w:t>
            </w:r>
            <w:r>
              <w:rPr>
                <w:rFonts w:hint="default" w:ascii="Times New Roman" w:hAnsi="Times New Roman" w:eastAsia="宋体" w:cs="Times New Roman"/>
                <w:i w:val="0"/>
                <w:iCs w:val="0"/>
                <w:color w:val="000000"/>
                <w:sz w:val="18"/>
                <w:szCs w:val="18"/>
                <w:u w:val="none"/>
                <w:lang w:eastAsia="zh-CN"/>
              </w:rPr>
              <w:t>等区域，购置相关设备，改造面积近750平米</w:t>
            </w:r>
          </w:p>
        </w:tc>
        <w:tc>
          <w:tcPr>
            <w:tcW w:w="936" w:type="dxa"/>
            <w:noWrap w:val="0"/>
            <w:vAlign w:val="center"/>
          </w:tcPr>
          <w:p w14:paraId="3D04C0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80</w:t>
            </w:r>
          </w:p>
        </w:tc>
        <w:tc>
          <w:tcPr>
            <w:tcW w:w="898" w:type="dxa"/>
            <w:noWrap w:val="0"/>
            <w:vAlign w:val="center"/>
          </w:tcPr>
          <w:p w14:paraId="7D3AB0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eastAsia="宋体" w:cs="Times New Roman"/>
                <w:i w:val="0"/>
                <w:iCs w:val="0"/>
                <w:color w:val="auto"/>
                <w:sz w:val="18"/>
                <w:szCs w:val="18"/>
                <w:u w:val="none"/>
                <w:lang w:val="en-US" w:eastAsia="zh-CN"/>
              </w:rPr>
              <w:t>60</w:t>
            </w:r>
          </w:p>
        </w:tc>
        <w:tc>
          <w:tcPr>
            <w:tcW w:w="1365" w:type="dxa"/>
            <w:noWrap w:val="0"/>
            <w:vAlign w:val="center"/>
          </w:tcPr>
          <w:p w14:paraId="1A9A41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lang w:val="en-US" w:eastAsia="zh-CN"/>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661A5A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770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3BE27D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647" w:type="dxa"/>
            <w:noWrap w:val="0"/>
            <w:vAlign w:val="center"/>
          </w:tcPr>
          <w:p w14:paraId="6B93FB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二连浩特市西城社区居家养老服务站</w:t>
            </w:r>
          </w:p>
        </w:tc>
        <w:tc>
          <w:tcPr>
            <w:tcW w:w="1131" w:type="dxa"/>
            <w:noWrap w:val="0"/>
            <w:vAlign w:val="center"/>
          </w:tcPr>
          <w:p w14:paraId="1B7922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改扩建（社区）</w:t>
            </w:r>
          </w:p>
        </w:tc>
        <w:tc>
          <w:tcPr>
            <w:tcW w:w="1072" w:type="dxa"/>
            <w:noWrap w:val="0"/>
            <w:vAlign w:val="center"/>
          </w:tcPr>
          <w:p w14:paraId="15207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2022年</w:t>
            </w:r>
          </w:p>
        </w:tc>
        <w:tc>
          <w:tcPr>
            <w:tcW w:w="1545" w:type="dxa"/>
            <w:noWrap w:val="0"/>
            <w:vAlign w:val="center"/>
          </w:tcPr>
          <w:p w14:paraId="65C9C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210E87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改造</w:t>
            </w:r>
            <w:r>
              <w:rPr>
                <w:rFonts w:hint="default" w:ascii="Times New Roman" w:hAnsi="Times New Roman" w:eastAsia="宋体" w:cs="Times New Roman"/>
                <w:i w:val="0"/>
                <w:iCs w:val="0"/>
                <w:color w:val="000000"/>
                <w:sz w:val="18"/>
                <w:szCs w:val="18"/>
                <w:u w:val="none"/>
              </w:rPr>
              <w:t>助餐、助医、助浴、助洁</w:t>
            </w:r>
            <w:r>
              <w:rPr>
                <w:rFonts w:hint="default" w:ascii="Times New Roman" w:hAnsi="Times New Roman" w:eastAsia="宋体" w:cs="Times New Roman"/>
                <w:i w:val="0"/>
                <w:iCs w:val="0"/>
                <w:color w:val="000000"/>
                <w:sz w:val="18"/>
                <w:szCs w:val="18"/>
                <w:u w:val="none"/>
                <w:lang w:eastAsia="zh-CN"/>
              </w:rPr>
              <w:t>等区域，购置相关设备，改造</w:t>
            </w:r>
            <w:r>
              <w:rPr>
                <w:rFonts w:hint="default" w:ascii="Times New Roman" w:hAnsi="Times New Roman" w:eastAsia="宋体" w:cs="Times New Roman"/>
                <w:i w:val="0"/>
                <w:iCs w:val="0"/>
                <w:color w:val="000000"/>
                <w:sz w:val="18"/>
                <w:szCs w:val="18"/>
                <w:u w:val="none"/>
                <w:lang w:val="en-US" w:eastAsia="zh-CN"/>
              </w:rPr>
              <w:t>面积500平米</w:t>
            </w:r>
          </w:p>
        </w:tc>
        <w:tc>
          <w:tcPr>
            <w:tcW w:w="936" w:type="dxa"/>
            <w:noWrap w:val="0"/>
            <w:vAlign w:val="center"/>
          </w:tcPr>
          <w:p w14:paraId="4AD57F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80</w:t>
            </w:r>
          </w:p>
        </w:tc>
        <w:tc>
          <w:tcPr>
            <w:tcW w:w="898" w:type="dxa"/>
            <w:noWrap w:val="0"/>
            <w:vAlign w:val="center"/>
          </w:tcPr>
          <w:p w14:paraId="3A08E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eastAsia="宋体" w:cs="Times New Roman"/>
                <w:i w:val="0"/>
                <w:iCs w:val="0"/>
                <w:color w:val="auto"/>
                <w:sz w:val="18"/>
                <w:szCs w:val="18"/>
                <w:u w:val="none"/>
                <w:lang w:val="en-US" w:eastAsia="zh-CN"/>
              </w:rPr>
              <w:t>60</w:t>
            </w:r>
          </w:p>
        </w:tc>
        <w:tc>
          <w:tcPr>
            <w:tcW w:w="1365" w:type="dxa"/>
            <w:noWrap w:val="0"/>
            <w:vAlign w:val="center"/>
          </w:tcPr>
          <w:p w14:paraId="4AA443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79FFA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216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3256D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647" w:type="dxa"/>
            <w:noWrap w:val="0"/>
            <w:vAlign w:val="center"/>
          </w:tcPr>
          <w:p w14:paraId="645E3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二连浩特市养老服务中心</w:t>
            </w:r>
          </w:p>
        </w:tc>
        <w:tc>
          <w:tcPr>
            <w:tcW w:w="1131" w:type="dxa"/>
            <w:noWrap w:val="0"/>
            <w:vAlign w:val="center"/>
          </w:tcPr>
          <w:p w14:paraId="1CBB60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新建（医养结合）</w:t>
            </w:r>
          </w:p>
        </w:tc>
        <w:tc>
          <w:tcPr>
            <w:tcW w:w="1072" w:type="dxa"/>
            <w:noWrap w:val="0"/>
            <w:vAlign w:val="center"/>
          </w:tcPr>
          <w:p w14:paraId="488470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2023-2025</w:t>
            </w:r>
          </w:p>
        </w:tc>
        <w:tc>
          <w:tcPr>
            <w:tcW w:w="1545" w:type="dxa"/>
            <w:noWrap w:val="0"/>
            <w:vAlign w:val="center"/>
          </w:tcPr>
          <w:p w14:paraId="7BC10C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7F81E3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建筑面积6000平方米，床位150张</w:t>
            </w:r>
          </w:p>
        </w:tc>
        <w:tc>
          <w:tcPr>
            <w:tcW w:w="936" w:type="dxa"/>
            <w:noWrap w:val="0"/>
            <w:vAlign w:val="center"/>
          </w:tcPr>
          <w:p w14:paraId="1E91A9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1800</w:t>
            </w:r>
          </w:p>
        </w:tc>
        <w:tc>
          <w:tcPr>
            <w:tcW w:w="898" w:type="dxa"/>
            <w:noWrap w:val="0"/>
            <w:vAlign w:val="center"/>
          </w:tcPr>
          <w:p w14:paraId="4AB5D7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300</w:t>
            </w:r>
          </w:p>
        </w:tc>
        <w:tc>
          <w:tcPr>
            <w:tcW w:w="1365" w:type="dxa"/>
            <w:noWrap w:val="0"/>
            <w:vAlign w:val="center"/>
          </w:tcPr>
          <w:p w14:paraId="11F916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3456C3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65F5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50" w:type="dxa"/>
            <w:gridSpan w:val="10"/>
            <w:noWrap w:val="0"/>
            <w:vAlign w:val="center"/>
          </w:tcPr>
          <w:p w14:paraId="3DB699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tc>
      </w:tr>
      <w:tr w14:paraId="130C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50" w:type="dxa"/>
            <w:gridSpan w:val="10"/>
            <w:noWrap w:val="0"/>
            <w:vAlign w:val="center"/>
          </w:tcPr>
          <w:p w14:paraId="725B92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二、“一小”专项</w:t>
            </w:r>
          </w:p>
        </w:tc>
      </w:tr>
      <w:tr w14:paraId="2095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7646D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2647" w:type="dxa"/>
            <w:noWrap w:val="0"/>
            <w:vAlign w:val="center"/>
          </w:tcPr>
          <w:p w14:paraId="39F51C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二连浩特市博苑示范性托育服务中心</w:t>
            </w:r>
          </w:p>
        </w:tc>
        <w:tc>
          <w:tcPr>
            <w:tcW w:w="1131" w:type="dxa"/>
            <w:noWrap w:val="0"/>
            <w:vAlign w:val="center"/>
          </w:tcPr>
          <w:p w14:paraId="718F8E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2C908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2022-2024</w:t>
            </w:r>
          </w:p>
        </w:tc>
        <w:tc>
          <w:tcPr>
            <w:tcW w:w="1545" w:type="dxa"/>
            <w:noWrap w:val="0"/>
            <w:vAlign w:val="center"/>
          </w:tcPr>
          <w:p w14:paraId="0FA317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4F8E7EA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1650平方米，改造面积900平方米，购置相关设备，新增托位100个</w:t>
            </w:r>
          </w:p>
        </w:tc>
        <w:tc>
          <w:tcPr>
            <w:tcW w:w="936" w:type="dxa"/>
            <w:noWrap w:val="0"/>
            <w:vAlign w:val="center"/>
          </w:tcPr>
          <w:p w14:paraId="23949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300</w:t>
            </w:r>
          </w:p>
        </w:tc>
        <w:tc>
          <w:tcPr>
            <w:tcW w:w="898" w:type="dxa"/>
            <w:noWrap w:val="0"/>
            <w:vAlign w:val="center"/>
          </w:tcPr>
          <w:p w14:paraId="3418F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150</w:t>
            </w:r>
          </w:p>
        </w:tc>
        <w:tc>
          <w:tcPr>
            <w:tcW w:w="1365" w:type="dxa"/>
            <w:noWrap w:val="0"/>
            <w:vAlign w:val="center"/>
          </w:tcPr>
          <w:p w14:paraId="2F5A56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二连浩特市博育托育有限公司</w:t>
            </w:r>
          </w:p>
        </w:tc>
        <w:tc>
          <w:tcPr>
            <w:tcW w:w="1401" w:type="dxa"/>
            <w:noWrap w:val="0"/>
            <w:vAlign w:val="center"/>
          </w:tcPr>
          <w:p w14:paraId="6D3DD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2F2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21F489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647" w:type="dxa"/>
            <w:noWrap w:val="0"/>
            <w:vAlign w:val="center"/>
          </w:tcPr>
          <w:p w14:paraId="3EAC36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蒙伊芽托育第三分园</w:t>
            </w:r>
          </w:p>
        </w:tc>
        <w:tc>
          <w:tcPr>
            <w:tcW w:w="1131" w:type="dxa"/>
            <w:noWrap w:val="0"/>
            <w:vAlign w:val="center"/>
          </w:tcPr>
          <w:p w14:paraId="0CD92A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083BE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2022-2024</w:t>
            </w:r>
          </w:p>
        </w:tc>
        <w:tc>
          <w:tcPr>
            <w:tcW w:w="1545" w:type="dxa"/>
            <w:noWrap w:val="0"/>
            <w:vAlign w:val="center"/>
          </w:tcPr>
          <w:p w14:paraId="448CB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2A173E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500平方米，改造面积1000平方米，购置相关设备，新增托位150个</w:t>
            </w:r>
          </w:p>
        </w:tc>
        <w:tc>
          <w:tcPr>
            <w:tcW w:w="936" w:type="dxa"/>
            <w:noWrap w:val="0"/>
            <w:vAlign w:val="center"/>
          </w:tcPr>
          <w:p w14:paraId="14014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450</w:t>
            </w:r>
          </w:p>
        </w:tc>
        <w:tc>
          <w:tcPr>
            <w:tcW w:w="898" w:type="dxa"/>
            <w:noWrap w:val="0"/>
            <w:vAlign w:val="center"/>
          </w:tcPr>
          <w:p w14:paraId="0CC6B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1365" w:type="dxa"/>
            <w:noWrap w:val="0"/>
            <w:vAlign w:val="center"/>
          </w:tcPr>
          <w:p w14:paraId="633BFA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内蒙古红日科技有限公司</w:t>
            </w:r>
          </w:p>
        </w:tc>
        <w:tc>
          <w:tcPr>
            <w:tcW w:w="1401" w:type="dxa"/>
            <w:noWrap w:val="0"/>
            <w:vAlign w:val="center"/>
          </w:tcPr>
          <w:p w14:paraId="7591F0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0A7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0437B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2647" w:type="dxa"/>
            <w:noWrap w:val="0"/>
            <w:vAlign w:val="center"/>
          </w:tcPr>
          <w:p w14:paraId="37994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二连市示范性托育中心</w:t>
            </w:r>
          </w:p>
        </w:tc>
        <w:tc>
          <w:tcPr>
            <w:tcW w:w="1131" w:type="dxa"/>
            <w:noWrap w:val="0"/>
            <w:vAlign w:val="center"/>
          </w:tcPr>
          <w:p w14:paraId="087DB6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新建（公办幼儿园延伸办托育</w:t>
            </w:r>
          </w:p>
        </w:tc>
        <w:tc>
          <w:tcPr>
            <w:tcW w:w="1072" w:type="dxa"/>
            <w:noWrap w:val="0"/>
            <w:vAlign w:val="center"/>
          </w:tcPr>
          <w:p w14:paraId="6822C6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2024-2025</w:t>
            </w:r>
          </w:p>
        </w:tc>
        <w:tc>
          <w:tcPr>
            <w:tcW w:w="1545" w:type="dxa"/>
            <w:noWrap w:val="0"/>
            <w:vAlign w:val="center"/>
          </w:tcPr>
          <w:p w14:paraId="08A2D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566A1F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改造面积1000平方米，购置相关设备，新增托位150个</w:t>
            </w:r>
          </w:p>
        </w:tc>
        <w:tc>
          <w:tcPr>
            <w:tcW w:w="936" w:type="dxa"/>
            <w:noWrap w:val="0"/>
            <w:vAlign w:val="center"/>
          </w:tcPr>
          <w:p w14:paraId="6C8637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400</w:t>
            </w:r>
          </w:p>
        </w:tc>
        <w:tc>
          <w:tcPr>
            <w:tcW w:w="898" w:type="dxa"/>
            <w:noWrap w:val="0"/>
            <w:vAlign w:val="center"/>
          </w:tcPr>
          <w:p w14:paraId="41528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320</w:t>
            </w:r>
          </w:p>
        </w:tc>
        <w:tc>
          <w:tcPr>
            <w:tcW w:w="1365" w:type="dxa"/>
            <w:noWrap w:val="0"/>
            <w:vAlign w:val="center"/>
          </w:tcPr>
          <w:p w14:paraId="790AB7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p>
        </w:tc>
        <w:tc>
          <w:tcPr>
            <w:tcW w:w="1401" w:type="dxa"/>
            <w:noWrap w:val="0"/>
            <w:vAlign w:val="center"/>
          </w:tcPr>
          <w:p w14:paraId="0B839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3EF5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6833E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2647" w:type="dxa"/>
            <w:noWrap w:val="0"/>
            <w:vAlign w:val="center"/>
          </w:tcPr>
          <w:p w14:paraId="494CBC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二连市普惠托育中心</w:t>
            </w:r>
          </w:p>
        </w:tc>
        <w:tc>
          <w:tcPr>
            <w:tcW w:w="1131" w:type="dxa"/>
            <w:noWrap w:val="0"/>
            <w:vAlign w:val="center"/>
          </w:tcPr>
          <w:p w14:paraId="36B06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509004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2023-2025</w:t>
            </w:r>
          </w:p>
        </w:tc>
        <w:tc>
          <w:tcPr>
            <w:tcW w:w="1545" w:type="dxa"/>
            <w:noWrap w:val="0"/>
            <w:vAlign w:val="center"/>
          </w:tcPr>
          <w:p w14:paraId="3A6EC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76BCFA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500平方米，改造面积1000平方米，购置相关设备，新增托位100个</w:t>
            </w:r>
          </w:p>
        </w:tc>
        <w:tc>
          <w:tcPr>
            <w:tcW w:w="936" w:type="dxa"/>
            <w:noWrap w:val="0"/>
            <w:vAlign w:val="center"/>
          </w:tcPr>
          <w:p w14:paraId="67053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300</w:t>
            </w:r>
          </w:p>
        </w:tc>
        <w:tc>
          <w:tcPr>
            <w:tcW w:w="898" w:type="dxa"/>
            <w:noWrap w:val="0"/>
            <w:vAlign w:val="center"/>
          </w:tcPr>
          <w:p w14:paraId="602F87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1365" w:type="dxa"/>
            <w:noWrap w:val="0"/>
            <w:vAlign w:val="center"/>
          </w:tcPr>
          <w:p w14:paraId="7C4AB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401" w:type="dxa"/>
            <w:noWrap w:val="0"/>
            <w:vAlign w:val="center"/>
          </w:tcPr>
          <w:p w14:paraId="51058A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二连浩特市卫健委</w:t>
            </w:r>
          </w:p>
        </w:tc>
      </w:tr>
    </w:tbl>
    <w:p w14:paraId="160F46B7">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注：根据我市实际情况，重大项目清单每年将动态调整，及时更新。</w:t>
      </w:r>
    </w:p>
    <w:sectPr>
      <w:pgSz w:w="16838" w:h="11906" w:orient="landscape"/>
      <w:pgMar w:top="1463" w:right="1440" w:bottom="15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25E58C-56A9-4BA5-B415-7F6CBFB382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B0AD63E-8069-4927-A77C-8EA26A18625D}"/>
  </w:font>
  <w:font w:name="仿宋">
    <w:panose1 w:val="02010609060101010101"/>
    <w:charset w:val="86"/>
    <w:family w:val="auto"/>
    <w:pitch w:val="default"/>
    <w:sig w:usb0="800002BF" w:usb1="38CF7CFA" w:usb2="00000016" w:usb3="00000000" w:csb0="00040001" w:csb1="00000000"/>
    <w:embedRegular r:id="rId3" w:fontKey="{EB2951BC-01F6-41B3-9A83-604FFDDBE01B}"/>
  </w:font>
  <w:font w:name="方正小标宋简体">
    <w:panose1 w:val="03000509000000000000"/>
    <w:charset w:val="86"/>
    <w:family w:val="script"/>
    <w:pitch w:val="default"/>
    <w:sig w:usb0="00000001" w:usb1="080E0000" w:usb2="00000000" w:usb3="00000000" w:csb0="00040000" w:csb1="00000000"/>
    <w:embedRegular r:id="rId4" w:fontKey="{EFA154D4-E2DB-4371-9822-12A304B534AB}"/>
  </w:font>
  <w:font w:name="楷体_GB2312">
    <w:altName w:val="楷体"/>
    <w:panose1 w:val="02010609030101010101"/>
    <w:charset w:val="86"/>
    <w:family w:val="auto"/>
    <w:pitch w:val="default"/>
    <w:sig w:usb0="00000000" w:usb1="00000000" w:usb2="00000000" w:usb3="00000000" w:csb0="00040000" w:csb1="00000000"/>
    <w:embedRegular r:id="rId5" w:fontKey="{5C09C045-72CC-443A-BBC8-7F770EF61D67}"/>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embedRegular r:id="rId6" w:fontKey="{AB01D953-33F6-40E3-ADA8-A922D6B76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EEB2">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5924">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3B38C">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B3B38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2DBF"/>
    <w:multiLevelType w:val="singleLevel"/>
    <w:tmpl w:val="A75A2DBF"/>
    <w:lvl w:ilvl="0" w:tentative="0">
      <w:start w:val="2"/>
      <w:numFmt w:val="decimal"/>
      <w:lvlText w:val="%1."/>
      <w:lvlJc w:val="left"/>
      <w:pPr>
        <w:tabs>
          <w:tab w:val="left" w:pos="312"/>
        </w:tabs>
      </w:pPr>
    </w:lvl>
  </w:abstractNum>
  <w:abstractNum w:abstractNumId="1">
    <w:nsid w:val="B0C5ADF1"/>
    <w:multiLevelType w:val="singleLevel"/>
    <w:tmpl w:val="B0C5ADF1"/>
    <w:lvl w:ilvl="0" w:tentative="0">
      <w:start w:val="2"/>
      <w:numFmt w:val="chineseCounting"/>
      <w:suff w:val="nothing"/>
      <w:lvlText w:val="（%1）"/>
      <w:lvlJc w:val="left"/>
      <w:rPr>
        <w:rFonts w:hint="eastAsia"/>
      </w:rPr>
    </w:lvl>
  </w:abstractNum>
  <w:abstractNum w:abstractNumId="2">
    <w:nsid w:val="0C6E32C9"/>
    <w:multiLevelType w:val="singleLevel"/>
    <w:tmpl w:val="0C6E32C9"/>
    <w:lvl w:ilvl="0" w:tentative="0">
      <w:start w:val="1"/>
      <w:numFmt w:val="chineseCounting"/>
      <w:suff w:val="nothing"/>
      <w:lvlText w:val="（%1）"/>
      <w:lvlJc w:val="left"/>
      <w:rPr>
        <w:rFonts w:hint="eastAsia"/>
        <w:b/>
        <w:bCs/>
      </w:rPr>
    </w:lvl>
  </w:abstractNum>
  <w:abstractNum w:abstractNumId="3">
    <w:nsid w:val="24486DED"/>
    <w:multiLevelType w:val="singleLevel"/>
    <w:tmpl w:val="24486DED"/>
    <w:lvl w:ilvl="0" w:tentative="0">
      <w:start w:val="2"/>
      <w:numFmt w:val="chineseCounting"/>
      <w:suff w:val="nothing"/>
      <w:lvlText w:val="（%1）"/>
      <w:lvlJc w:val="left"/>
      <w:rPr>
        <w:rFonts w:hint="eastAsia"/>
      </w:rPr>
    </w:lvl>
  </w:abstractNum>
  <w:abstractNum w:abstractNumId="4">
    <w:nsid w:val="77D4B58A"/>
    <w:multiLevelType w:val="singleLevel"/>
    <w:tmpl w:val="77D4B58A"/>
    <w:lvl w:ilvl="0" w:tentative="0">
      <w:start w:val="4"/>
      <w:numFmt w:val="chineseCounting"/>
      <w:suff w:val="nothing"/>
      <w:lvlText w:val="%1、"/>
      <w:lvlJc w:val="left"/>
      <w:rPr>
        <w:rFonts w:hint="eastAsia"/>
        <w:b/>
        <w:bC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jVkN2JmMjY1NzdmMzE1NWZkY2Q0MjMyYTM3YjEifQ=="/>
  </w:docVars>
  <w:rsids>
    <w:rsidRoot w:val="21DC72A5"/>
    <w:rsid w:val="00214C10"/>
    <w:rsid w:val="00DA3EA5"/>
    <w:rsid w:val="010158D6"/>
    <w:rsid w:val="01080A12"/>
    <w:rsid w:val="01211AD4"/>
    <w:rsid w:val="012375FA"/>
    <w:rsid w:val="01390FC1"/>
    <w:rsid w:val="01E46594"/>
    <w:rsid w:val="021B4775"/>
    <w:rsid w:val="025657AD"/>
    <w:rsid w:val="02590796"/>
    <w:rsid w:val="02DE5ECF"/>
    <w:rsid w:val="02F474A0"/>
    <w:rsid w:val="03280EF8"/>
    <w:rsid w:val="033755DF"/>
    <w:rsid w:val="03844968"/>
    <w:rsid w:val="03A96B59"/>
    <w:rsid w:val="03E47515"/>
    <w:rsid w:val="03EA11B8"/>
    <w:rsid w:val="0408709E"/>
    <w:rsid w:val="041476CE"/>
    <w:rsid w:val="04243DB5"/>
    <w:rsid w:val="042C0EBC"/>
    <w:rsid w:val="04406715"/>
    <w:rsid w:val="044E12E6"/>
    <w:rsid w:val="046441B2"/>
    <w:rsid w:val="04695C6C"/>
    <w:rsid w:val="048760F2"/>
    <w:rsid w:val="04C42EA2"/>
    <w:rsid w:val="04EF43C3"/>
    <w:rsid w:val="053973EC"/>
    <w:rsid w:val="055C757F"/>
    <w:rsid w:val="05711B73"/>
    <w:rsid w:val="05726DA2"/>
    <w:rsid w:val="058F1702"/>
    <w:rsid w:val="05A84572"/>
    <w:rsid w:val="0664493D"/>
    <w:rsid w:val="06662200"/>
    <w:rsid w:val="066E57BB"/>
    <w:rsid w:val="068E3768"/>
    <w:rsid w:val="069A210C"/>
    <w:rsid w:val="06AE5BB8"/>
    <w:rsid w:val="06C47189"/>
    <w:rsid w:val="06EC66E0"/>
    <w:rsid w:val="06F51A39"/>
    <w:rsid w:val="072916E2"/>
    <w:rsid w:val="073A38EF"/>
    <w:rsid w:val="075E75DE"/>
    <w:rsid w:val="07A1396F"/>
    <w:rsid w:val="07A1571D"/>
    <w:rsid w:val="07AD1B9A"/>
    <w:rsid w:val="07BE62CF"/>
    <w:rsid w:val="07CF4038"/>
    <w:rsid w:val="08031233"/>
    <w:rsid w:val="08393BA7"/>
    <w:rsid w:val="08400A92"/>
    <w:rsid w:val="08512C9F"/>
    <w:rsid w:val="08534C69"/>
    <w:rsid w:val="086C5D2B"/>
    <w:rsid w:val="08744BDF"/>
    <w:rsid w:val="08986B20"/>
    <w:rsid w:val="08A25CB6"/>
    <w:rsid w:val="08C12915"/>
    <w:rsid w:val="08CB0CA3"/>
    <w:rsid w:val="0908634F"/>
    <w:rsid w:val="091C14FF"/>
    <w:rsid w:val="094E3682"/>
    <w:rsid w:val="09727371"/>
    <w:rsid w:val="09842C00"/>
    <w:rsid w:val="09C676BC"/>
    <w:rsid w:val="09E87633"/>
    <w:rsid w:val="0A0A75A9"/>
    <w:rsid w:val="0A0C1573"/>
    <w:rsid w:val="0A36214C"/>
    <w:rsid w:val="0A546A76"/>
    <w:rsid w:val="0A59408D"/>
    <w:rsid w:val="0A60366D"/>
    <w:rsid w:val="0A8D3D36"/>
    <w:rsid w:val="0B220922"/>
    <w:rsid w:val="0B381EF4"/>
    <w:rsid w:val="0B440899"/>
    <w:rsid w:val="0B8E5FB8"/>
    <w:rsid w:val="0B9F1F73"/>
    <w:rsid w:val="0B9F3D21"/>
    <w:rsid w:val="0BC84CB6"/>
    <w:rsid w:val="0BDE2A9B"/>
    <w:rsid w:val="0BE107DE"/>
    <w:rsid w:val="0C1B3CF0"/>
    <w:rsid w:val="0C452B1A"/>
    <w:rsid w:val="0C4A6383"/>
    <w:rsid w:val="0C7451AE"/>
    <w:rsid w:val="0C782EF0"/>
    <w:rsid w:val="0C7B02EA"/>
    <w:rsid w:val="0C7B653C"/>
    <w:rsid w:val="0CCC4FEA"/>
    <w:rsid w:val="0CD901D5"/>
    <w:rsid w:val="0D057085"/>
    <w:rsid w:val="0D5A0848"/>
    <w:rsid w:val="0D6C5A29"/>
    <w:rsid w:val="0D7A4A46"/>
    <w:rsid w:val="0D8E229F"/>
    <w:rsid w:val="0D9D0734"/>
    <w:rsid w:val="0DA10224"/>
    <w:rsid w:val="0DA73361"/>
    <w:rsid w:val="0DE6032D"/>
    <w:rsid w:val="0E0C430B"/>
    <w:rsid w:val="0E0E4090"/>
    <w:rsid w:val="0E1E3623"/>
    <w:rsid w:val="0E2F3A82"/>
    <w:rsid w:val="0E417312"/>
    <w:rsid w:val="0E462B7A"/>
    <w:rsid w:val="0E8C2C83"/>
    <w:rsid w:val="0E9658AF"/>
    <w:rsid w:val="0EE4486D"/>
    <w:rsid w:val="0F1D7D7F"/>
    <w:rsid w:val="0F334EAC"/>
    <w:rsid w:val="0F4715D8"/>
    <w:rsid w:val="0F96368D"/>
    <w:rsid w:val="10126821"/>
    <w:rsid w:val="105311AF"/>
    <w:rsid w:val="109220A6"/>
    <w:rsid w:val="10A51DDA"/>
    <w:rsid w:val="10DB1C9F"/>
    <w:rsid w:val="10F1501F"/>
    <w:rsid w:val="111676F8"/>
    <w:rsid w:val="111B6DCF"/>
    <w:rsid w:val="111F7DDE"/>
    <w:rsid w:val="112F3D99"/>
    <w:rsid w:val="114956E9"/>
    <w:rsid w:val="11B54C60"/>
    <w:rsid w:val="11CE710E"/>
    <w:rsid w:val="11E261FD"/>
    <w:rsid w:val="121A3C4E"/>
    <w:rsid w:val="123478B9"/>
    <w:rsid w:val="1235718D"/>
    <w:rsid w:val="126B7053"/>
    <w:rsid w:val="128043F0"/>
    <w:rsid w:val="12A367ED"/>
    <w:rsid w:val="12AA7B7B"/>
    <w:rsid w:val="12E017EF"/>
    <w:rsid w:val="12EA4B12"/>
    <w:rsid w:val="12EF1A32"/>
    <w:rsid w:val="130D1EB8"/>
    <w:rsid w:val="131B45D5"/>
    <w:rsid w:val="1327486D"/>
    <w:rsid w:val="1360023A"/>
    <w:rsid w:val="13AC347F"/>
    <w:rsid w:val="13C634DE"/>
    <w:rsid w:val="13C702B9"/>
    <w:rsid w:val="13DA623E"/>
    <w:rsid w:val="13E72709"/>
    <w:rsid w:val="13F60B9E"/>
    <w:rsid w:val="141334FE"/>
    <w:rsid w:val="141C6857"/>
    <w:rsid w:val="14357918"/>
    <w:rsid w:val="14382F65"/>
    <w:rsid w:val="146E6986"/>
    <w:rsid w:val="14832432"/>
    <w:rsid w:val="14B4083D"/>
    <w:rsid w:val="150B4EDD"/>
    <w:rsid w:val="150C68CB"/>
    <w:rsid w:val="15185829"/>
    <w:rsid w:val="155757D9"/>
    <w:rsid w:val="15981D66"/>
    <w:rsid w:val="15C34AB0"/>
    <w:rsid w:val="15D31197"/>
    <w:rsid w:val="16223ECC"/>
    <w:rsid w:val="16242D53"/>
    <w:rsid w:val="1658169C"/>
    <w:rsid w:val="168E3310"/>
    <w:rsid w:val="16922E00"/>
    <w:rsid w:val="16D74CB7"/>
    <w:rsid w:val="16E66CA8"/>
    <w:rsid w:val="16E96798"/>
    <w:rsid w:val="170F26A3"/>
    <w:rsid w:val="17125CEF"/>
    <w:rsid w:val="17681DB3"/>
    <w:rsid w:val="17780248"/>
    <w:rsid w:val="17C90AA4"/>
    <w:rsid w:val="17CA5C1C"/>
    <w:rsid w:val="17D31922"/>
    <w:rsid w:val="17F378CF"/>
    <w:rsid w:val="182C1032"/>
    <w:rsid w:val="18335F1D"/>
    <w:rsid w:val="188449CB"/>
    <w:rsid w:val="188744BB"/>
    <w:rsid w:val="18C33745"/>
    <w:rsid w:val="18D771F0"/>
    <w:rsid w:val="18DA283C"/>
    <w:rsid w:val="18DE232D"/>
    <w:rsid w:val="18F27B86"/>
    <w:rsid w:val="190D2C12"/>
    <w:rsid w:val="196B16E7"/>
    <w:rsid w:val="198729C4"/>
    <w:rsid w:val="19B117EF"/>
    <w:rsid w:val="19F53DD2"/>
    <w:rsid w:val="1A450189"/>
    <w:rsid w:val="1A644AB4"/>
    <w:rsid w:val="1A817E2D"/>
    <w:rsid w:val="1B26620D"/>
    <w:rsid w:val="1B3A75C2"/>
    <w:rsid w:val="1B3E3557"/>
    <w:rsid w:val="1B440441"/>
    <w:rsid w:val="1B4B7A22"/>
    <w:rsid w:val="1B520DB0"/>
    <w:rsid w:val="1B6F1962"/>
    <w:rsid w:val="1BD143CB"/>
    <w:rsid w:val="1BEF4851"/>
    <w:rsid w:val="1BFB4FA4"/>
    <w:rsid w:val="1C1147C7"/>
    <w:rsid w:val="1C7B7E93"/>
    <w:rsid w:val="1C7C3099"/>
    <w:rsid w:val="1C7F011E"/>
    <w:rsid w:val="1CA05B4B"/>
    <w:rsid w:val="1D1C344E"/>
    <w:rsid w:val="1D2D73DF"/>
    <w:rsid w:val="1D6848BB"/>
    <w:rsid w:val="1D921938"/>
    <w:rsid w:val="1D992CC6"/>
    <w:rsid w:val="1DC87107"/>
    <w:rsid w:val="1DCF0496"/>
    <w:rsid w:val="1E1D38F7"/>
    <w:rsid w:val="1E8C282B"/>
    <w:rsid w:val="1EE3554E"/>
    <w:rsid w:val="1F3233D2"/>
    <w:rsid w:val="1F751511"/>
    <w:rsid w:val="1FF16DE9"/>
    <w:rsid w:val="1FFE32B4"/>
    <w:rsid w:val="205B4263"/>
    <w:rsid w:val="206F41B2"/>
    <w:rsid w:val="216149A7"/>
    <w:rsid w:val="216655B5"/>
    <w:rsid w:val="21957C48"/>
    <w:rsid w:val="21972D34"/>
    <w:rsid w:val="21D267A7"/>
    <w:rsid w:val="21D53713"/>
    <w:rsid w:val="21DC72A5"/>
    <w:rsid w:val="21EB7868"/>
    <w:rsid w:val="21F42BC1"/>
    <w:rsid w:val="21F901D7"/>
    <w:rsid w:val="22056B7C"/>
    <w:rsid w:val="22205764"/>
    <w:rsid w:val="22352F4F"/>
    <w:rsid w:val="22B8599C"/>
    <w:rsid w:val="234611FA"/>
    <w:rsid w:val="2355143D"/>
    <w:rsid w:val="235651B5"/>
    <w:rsid w:val="2369138D"/>
    <w:rsid w:val="23F87A5B"/>
    <w:rsid w:val="243E6375"/>
    <w:rsid w:val="24572F93"/>
    <w:rsid w:val="24651B54"/>
    <w:rsid w:val="24ED56A6"/>
    <w:rsid w:val="25643BBA"/>
    <w:rsid w:val="257162D7"/>
    <w:rsid w:val="25A20B86"/>
    <w:rsid w:val="25AC532F"/>
    <w:rsid w:val="25B20DC9"/>
    <w:rsid w:val="25BF34E6"/>
    <w:rsid w:val="26751DF6"/>
    <w:rsid w:val="26924756"/>
    <w:rsid w:val="26DB60FD"/>
    <w:rsid w:val="270516B6"/>
    <w:rsid w:val="271D04C4"/>
    <w:rsid w:val="272950BB"/>
    <w:rsid w:val="273E668C"/>
    <w:rsid w:val="27624EE4"/>
    <w:rsid w:val="276F4A98"/>
    <w:rsid w:val="276F6096"/>
    <w:rsid w:val="27AE3812"/>
    <w:rsid w:val="27B16E5E"/>
    <w:rsid w:val="27C9064C"/>
    <w:rsid w:val="27DA4607"/>
    <w:rsid w:val="281A4A03"/>
    <w:rsid w:val="28697739"/>
    <w:rsid w:val="28902F18"/>
    <w:rsid w:val="28971FD5"/>
    <w:rsid w:val="28B22E8E"/>
    <w:rsid w:val="28B60BD0"/>
    <w:rsid w:val="28C826B1"/>
    <w:rsid w:val="28ED3EC6"/>
    <w:rsid w:val="28FE2577"/>
    <w:rsid w:val="29121B7F"/>
    <w:rsid w:val="2917259E"/>
    <w:rsid w:val="29312005"/>
    <w:rsid w:val="29423FC7"/>
    <w:rsid w:val="295D3261"/>
    <w:rsid w:val="29794A81"/>
    <w:rsid w:val="29B669AE"/>
    <w:rsid w:val="29BB62C0"/>
    <w:rsid w:val="2A946CEF"/>
    <w:rsid w:val="2B146082"/>
    <w:rsid w:val="2B2B6F28"/>
    <w:rsid w:val="2B4324C3"/>
    <w:rsid w:val="2B5841C1"/>
    <w:rsid w:val="2B591003"/>
    <w:rsid w:val="2B645A7B"/>
    <w:rsid w:val="2B7E34FB"/>
    <w:rsid w:val="2BB1567F"/>
    <w:rsid w:val="2BBD4024"/>
    <w:rsid w:val="2BD1187D"/>
    <w:rsid w:val="2BDA4BD6"/>
    <w:rsid w:val="2BDE02DF"/>
    <w:rsid w:val="2C2C50FA"/>
    <w:rsid w:val="2C30155D"/>
    <w:rsid w:val="2C6426F1"/>
    <w:rsid w:val="2C820DC9"/>
    <w:rsid w:val="2C8965FC"/>
    <w:rsid w:val="2C8C39F6"/>
    <w:rsid w:val="2CB90C8F"/>
    <w:rsid w:val="2CC6445D"/>
    <w:rsid w:val="2D3F3BE5"/>
    <w:rsid w:val="2DB17BB8"/>
    <w:rsid w:val="2DB72CF5"/>
    <w:rsid w:val="2DE03FF9"/>
    <w:rsid w:val="2DF857E7"/>
    <w:rsid w:val="2EDC6EB7"/>
    <w:rsid w:val="2EDF2503"/>
    <w:rsid w:val="2F0106CB"/>
    <w:rsid w:val="2F2B5748"/>
    <w:rsid w:val="2F3A5F09"/>
    <w:rsid w:val="2F54787E"/>
    <w:rsid w:val="2F5B4C79"/>
    <w:rsid w:val="2F631386"/>
    <w:rsid w:val="2F713AA3"/>
    <w:rsid w:val="2FC11C09"/>
    <w:rsid w:val="2FD7142C"/>
    <w:rsid w:val="2FF84F15"/>
    <w:rsid w:val="307C26FF"/>
    <w:rsid w:val="308B2942"/>
    <w:rsid w:val="308E2433"/>
    <w:rsid w:val="30A064A6"/>
    <w:rsid w:val="30BA3228"/>
    <w:rsid w:val="30CD3B73"/>
    <w:rsid w:val="30F77FD8"/>
    <w:rsid w:val="30FF50DE"/>
    <w:rsid w:val="3112096E"/>
    <w:rsid w:val="31837ABD"/>
    <w:rsid w:val="318555E4"/>
    <w:rsid w:val="31927D00"/>
    <w:rsid w:val="31A041CB"/>
    <w:rsid w:val="31D40319"/>
    <w:rsid w:val="31E504CC"/>
    <w:rsid w:val="32764F2C"/>
    <w:rsid w:val="32E225C2"/>
    <w:rsid w:val="33133950"/>
    <w:rsid w:val="3390201E"/>
    <w:rsid w:val="33DC5263"/>
    <w:rsid w:val="34036C94"/>
    <w:rsid w:val="343B7207"/>
    <w:rsid w:val="344572AC"/>
    <w:rsid w:val="34943D90"/>
    <w:rsid w:val="34DA4C02"/>
    <w:rsid w:val="34EC597A"/>
    <w:rsid w:val="35265D35"/>
    <w:rsid w:val="354457B6"/>
    <w:rsid w:val="35584DBD"/>
    <w:rsid w:val="356B4AF0"/>
    <w:rsid w:val="3599165E"/>
    <w:rsid w:val="35D00DF7"/>
    <w:rsid w:val="35D5640E"/>
    <w:rsid w:val="35D97CAC"/>
    <w:rsid w:val="363D46DF"/>
    <w:rsid w:val="36B44275"/>
    <w:rsid w:val="36D13079"/>
    <w:rsid w:val="3710594F"/>
    <w:rsid w:val="3720190B"/>
    <w:rsid w:val="373158C6"/>
    <w:rsid w:val="377C1237"/>
    <w:rsid w:val="37D7646D"/>
    <w:rsid w:val="37EF1A09"/>
    <w:rsid w:val="37F60FE9"/>
    <w:rsid w:val="37F92887"/>
    <w:rsid w:val="38233460"/>
    <w:rsid w:val="385F5BA5"/>
    <w:rsid w:val="38991974"/>
    <w:rsid w:val="38D806EF"/>
    <w:rsid w:val="38DE55D9"/>
    <w:rsid w:val="38ED3A6E"/>
    <w:rsid w:val="38F512A1"/>
    <w:rsid w:val="390863B3"/>
    <w:rsid w:val="391D07F7"/>
    <w:rsid w:val="3925145A"/>
    <w:rsid w:val="395A2AFA"/>
    <w:rsid w:val="396E4BAF"/>
    <w:rsid w:val="39AE76A2"/>
    <w:rsid w:val="39DC5FBD"/>
    <w:rsid w:val="3A127C30"/>
    <w:rsid w:val="3A4E5865"/>
    <w:rsid w:val="3A996973"/>
    <w:rsid w:val="3AA50AA5"/>
    <w:rsid w:val="3AD66EB0"/>
    <w:rsid w:val="3AEA4709"/>
    <w:rsid w:val="3B1F0857"/>
    <w:rsid w:val="3B4C0F20"/>
    <w:rsid w:val="3B5E2A01"/>
    <w:rsid w:val="3B60677A"/>
    <w:rsid w:val="3B8406BA"/>
    <w:rsid w:val="3B903503"/>
    <w:rsid w:val="3BAC7C11"/>
    <w:rsid w:val="3BC92571"/>
    <w:rsid w:val="3BF33A92"/>
    <w:rsid w:val="3C090E9E"/>
    <w:rsid w:val="3C636521"/>
    <w:rsid w:val="3C7249B6"/>
    <w:rsid w:val="3C9F581D"/>
    <w:rsid w:val="3CA134EE"/>
    <w:rsid w:val="3CA408E8"/>
    <w:rsid w:val="3CA54D8C"/>
    <w:rsid w:val="3D0F66A9"/>
    <w:rsid w:val="3D195EAA"/>
    <w:rsid w:val="3D251A29"/>
    <w:rsid w:val="3D45031D"/>
    <w:rsid w:val="3D7A6218"/>
    <w:rsid w:val="3E016501"/>
    <w:rsid w:val="3E1D200E"/>
    <w:rsid w:val="3E2241BA"/>
    <w:rsid w:val="3E2B4108"/>
    <w:rsid w:val="3E5500EC"/>
    <w:rsid w:val="3E6447D3"/>
    <w:rsid w:val="3EA6303D"/>
    <w:rsid w:val="3EA66B99"/>
    <w:rsid w:val="3EB63280"/>
    <w:rsid w:val="3EDC6A5F"/>
    <w:rsid w:val="3EED6576"/>
    <w:rsid w:val="3F446ADE"/>
    <w:rsid w:val="3F9D1D4A"/>
    <w:rsid w:val="400E0E9A"/>
    <w:rsid w:val="40322DDA"/>
    <w:rsid w:val="40610FCA"/>
    <w:rsid w:val="4093314D"/>
    <w:rsid w:val="4114428E"/>
    <w:rsid w:val="41CF6407"/>
    <w:rsid w:val="41F210AD"/>
    <w:rsid w:val="42075BA1"/>
    <w:rsid w:val="421615FA"/>
    <w:rsid w:val="42206C63"/>
    <w:rsid w:val="422624CB"/>
    <w:rsid w:val="42521512"/>
    <w:rsid w:val="427F1BDB"/>
    <w:rsid w:val="428A31FD"/>
    <w:rsid w:val="42B20202"/>
    <w:rsid w:val="42EF6D61"/>
    <w:rsid w:val="42F56341"/>
    <w:rsid w:val="4323433C"/>
    <w:rsid w:val="43397FDC"/>
    <w:rsid w:val="43432C09"/>
    <w:rsid w:val="43601A0D"/>
    <w:rsid w:val="439B47F3"/>
    <w:rsid w:val="43C81360"/>
    <w:rsid w:val="43CD6DAB"/>
    <w:rsid w:val="44A678F3"/>
    <w:rsid w:val="44A94B95"/>
    <w:rsid w:val="44B334F5"/>
    <w:rsid w:val="44ED5522"/>
    <w:rsid w:val="453E7B2C"/>
    <w:rsid w:val="454C451B"/>
    <w:rsid w:val="455455A1"/>
    <w:rsid w:val="459B31D0"/>
    <w:rsid w:val="45D97854"/>
    <w:rsid w:val="466A4950"/>
    <w:rsid w:val="46737CA9"/>
    <w:rsid w:val="46F10BCE"/>
    <w:rsid w:val="46F54B62"/>
    <w:rsid w:val="47370CD6"/>
    <w:rsid w:val="476D46F8"/>
    <w:rsid w:val="477C0DDF"/>
    <w:rsid w:val="47B10A89"/>
    <w:rsid w:val="47C167F2"/>
    <w:rsid w:val="48141F25"/>
    <w:rsid w:val="48643D4D"/>
    <w:rsid w:val="48691363"/>
    <w:rsid w:val="48BA1BBF"/>
    <w:rsid w:val="48CC5CE4"/>
    <w:rsid w:val="497C6E74"/>
    <w:rsid w:val="498D1081"/>
    <w:rsid w:val="49C8030C"/>
    <w:rsid w:val="49D722FD"/>
    <w:rsid w:val="4A2A2D74"/>
    <w:rsid w:val="4A4E6A63"/>
    <w:rsid w:val="4A722025"/>
    <w:rsid w:val="4AC016BC"/>
    <w:rsid w:val="4B105AC6"/>
    <w:rsid w:val="4B284E51"/>
    <w:rsid w:val="4B3A6FE7"/>
    <w:rsid w:val="4B6B53F2"/>
    <w:rsid w:val="4B7C7600"/>
    <w:rsid w:val="4B9C03C6"/>
    <w:rsid w:val="4BBC79FC"/>
    <w:rsid w:val="4C46481E"/>
    <w:rsid w:val="4C5639AD"/>
    <w:rsid w:val="4C571AC7"/>
    <w:rsid w:val="4C5C2F8D"/>
    <w:rsid w:val="4C6836E0"/>
    <w:rsid w:val="4CDF7E46"/>
    <w:rsid w:val="4CEC60BF"/>
    <w:rsid w:val="4D043409"/>
    <w:rsid w:val="4D357A66"/>
    <w:rsid w:val="4D3637DE"/>
    <w:rsid w:val="4D714816"/>
    <w:rsid w:val="4DAE15C6"/>
    <w:rsid w:val="4DD52FF7"/>
    <w:rsid w:val="4E200716"/>
    <w:rsid w:val="4E2236A3"/>
    <w:rsid w:val="4E2F706B"/>
    <w:rsid w:val="4E3046D1"/>
    <w:rsid w:val="4E41243B"/>
    <w:rsid w:val="4E4A6FEF"/>
    <w:rsid w:val="4E4F01D1"/>
    <w:rsid w:val="4E740A62"/>
    <w:rsid w:val="4EA053B3"/>
    <w:rsid w:val="4ECC61A8"/>
    <w:rsid w:val="4F1162B1"/>
    <w:rsid w:val="4F374F79"/>
    <w:rsid w:val="4F3A632D"/>
    <w:rsid w:val="4F506DD9"/>
    <w:rsid w:val="4F806F93"/>
    <w:rsid w:val="4F860A4D"/>
    <w:rsid w:val="4F8D1DDB"/>
    <w:rsid w:val="4FC05489"/>
    <w:rsid w:val="4FC926E8"/>
    <w:rsid w:val="502D0EC8"/>
    <w:rsid w:val="504C26D5"/>
    <w:rsid w:val="50C57D49"/>
    <w:rsid w:val="50E023DF"/>
    <w:rsid w:val="50EB2DFD"/>
    <w:rsid w:val="50EF617E"/>
    <w:rsid w:val="50FB4B23"/>
    <w:rsid w:val="510559A1"/>
    <w:rsid w:val="51153167"/>
    <w:rsid w:val="5119144D"/>
    <w:rsid w:val="514B0D5C"/>
    <w:rsid w:val="515D57DD"/>
    <w:rsid w:val="516E79EA"/>
    <w:rsid w:val="51E47CAD"/>
    <w:rsid w:val="521C11F4"/>
    <w:rsid w:val="524D7600"/>
    <w:rsid w:val="52650DED"/>
    <w:rsid w:val="527F1783"/>
    <w:rsid w:val="52A07FB2"/>
    <w:rsid w:val="52F1442F"/>
    <w:rsid w:val="530C74BB"/>
    <w:rsid w:val="53114AD1"/>
    <w:rsid w:val="531B76FE"/>
    <w:rsid w:val="533662E6"/>
    <w:rsid w:val="536966BB"/>
    <w:rsid w:val="53A94D0A"/>
    <w:rsid w:val="53AF690F"/>
    <w:rsid w:val="53C658BC"/>
    <w:rsid w:val="53DD0E57"/>
    <w:rsid w:val="5483555B"/>
    <w:rsid w:val="54BF230B"/>
    <w:rsid w:val="54CA13DC"/>
    <w:rsid w:val="54FE4BE1"/>
    <w:rsid w:val="55195EBF"/>
    <w:rsid w:val="551A1FBA"/>
    <w:rsid w:val="55264138"/>
    <w:rsid w:val="55313209"/>
    <w:rsid w:val="553C395C"/>
    <w:rsid w:val="555A395A"/>
    <w:rsid w:val="55915A56"/>
    <w:rsid w:val="55E77D6B"/>
    <w:rsid w:val="55F304BE"/>
    <w:rsid w:val="55FC3817"/>
    <w:rsid w:val="55FF50B5"/>
    <w:rsid w:val="560311F8"/>
    <w:rsid w:val="5604091D"/>
    <w:rsid w:val="561D553B"/>
    <w:rsid w:val="56242D6E"/>
    <w:rsid w:val="56334D5F"/>
    <w:rsid w:val="563D26BC"/>
    <w:rsid w:val="563D798B"/>
    <w:rsid w:val="564927D4"/>
    <w:rsid w:val="56633896"/>
    <w:rsid w:val="567710EF"/>
    <w:rsid w:val="56982E14"/>
    <w:rsid w:val="56C67359"/>
    <w:rsid w:val="56D26326"/>
    <w:rsid w:val="570404A9"/>
    <w:rsid w:val="572052E3"/>
    <w:rsid w:val="5734261D"/>
    <w:rsid w:val="57560D05"/>
    <w:rsid w:val="577B4C0F"/>
    <w:rsid w:val="57CA34A1"/>
    <w:rsid w:val="57CC0FC7"/>
    <w:rsid w:val="57E74053"/>
    <w:rsid w:val="580C1D0B"/>
    <w:rsid w:val="581666E6"/>
    <w:rsid w:val="584414A5"/>
    <w:rsid w:val="584B45E2"/>
    <w:rsid w:val="58737694"/>
    <w:rsid w:val="58D77C23"/>
    <w:rsid w:val="58DE5456"/>
    <w:rsid w:val="597A6F02"/>
    <w:rsid w:val="59926240"/>
    <w:rsid w:val="59FE5684"/>
    <w:rsid w:val="5A074538"/>
    <w:rsid w:val="5A4B4758"/>
    <w:rsid w:val="5A551748"/>
    <w:rsid w:val="5A7B6CD4"/>
    <w:rsid w:val="5A9A35FE"/>
    <w:rsid w:val="5AD85ED5"/>
    <w:rsid w:val="5B3248C1"/>
    <w:rsid w:val="5B353327"/>
    <w:rsid w:val="5B525C87"/>
    <w:rsid w:val="5B527A35"/>
    <w:rsid w:val="5B865931"/>
    <w:rsid w:val="5BF604E7"/>
    <w:rsid w:val="5C1E3DBB"/>
    <w:rsid w:val="5C425CFC"/>
    <w:rsid w:val="5C5E240A"/>
    <w:rsid w:val="5C966047"/>
    <w:rsid w:val="5CAB38A1"/>
    <w:rsid w:val="5CAC7619"/>
    <w:rsid w:val="5D0B1733"/>
    <w:rsid w:val="5D107BA8"/>
    <w:rsid w:val="5D142F08"/>
    <w:rsid w:val="5D1A6C78"/>
    <w:rsid w:val="5D1E59F1"/>
    <w:rsid w:val="5D465377"/>
    <w:rsid w:val="5D4B0BE0"/>
    <w:rsid w:val="5D6F0D72"/>
    <w:rsid w:val="5DB76275"/>
    <w:rsid w:val="5DCD3CEB"/>
    <w:rsid w:val="5DD5494D"/>
    <w:rsid w:val="5DEF5A0F"/>
    <w:rsid w:val="5E0019CA"/>
    <w:rsid w:val="5E435191"/>
    <w:rsid w:val="5E761C8C"/>
    <w:rsid w:val="5E7A5C21"/>
    <w:rsid w:val="5E9A4BE9"/>
    <w:rsid w:val="5EE035AA"/>
    <w:rsid w:val="5F2067DA"/>
    <w:rsid w:val="5F4E2C09"/>
    <w:rsid w:val="5F922AF6"/>
    <w:rsid w:val="5FA36AB1"/>
    <w:rsid w:val="5FCA6734"/>
    <w:rsid w:val="5FF05A6E"/>
    <w:rsid w:val="5FFE018B"/>
    <w:rsid w:val="605A4C4D"/>
    <w:rsid w:val="60742A10"/>
    <w:rsid w:val="60771CEC"/>
    <w:rsid w:val="60820DBC"/>
    <w:rsid w:val="60D94755"/>
    <w:rsid w:val="61665FE8"/>
    <w:rsid w:val="61C56804"/>
    <w:rsid w:val="61C85CE6"/>
    <w:rsid w:val="61CD250B"/>
    <w:rsid w:val="61D13262"/>
    <w:rsid w:val="61D373F6"/>
    <w:rsid w:val="61F07FA8"/>
    <w:rsid w:val="61F77588"/>
    <w:rsid w:val="621A6DD3"/>
    <w:rsid w:val="621B637C"/>
    <w:rsid w:val="625D388F"/>
    <w:rsid w:val="628D57F7"/>
    <w:rsid w:val="629C1EAB"/>
    <w:rsid w:val="62B17737"/>
    <w:rsid w:val="62EA49F7"/>
    <w:rsid w:val="63161C90"/>
    <w:rsid w:val="63387E58"/>
    <w:rsid w:val="63424833"/>
    <w:rsid w:val="635746C4"/>
    <w:rsid w:val="639332E1"/>
    <w:rsid w:val="63DA7F4F"/>
    <w:rsid w:val="63E27F9A"/>
    <w:rsid w:val="63E950BD"/>
    <w:rsid w:val="64065861"/>
    <w:rsid w:val="647B6F79"/>
    <w:rsid w:val="649E3AFC"/>
    <w:rsid w:val="64C9520C"/>
    <w:rsid w:val="64DD4813"/>
    <w:rsid w:val="64F8164D"/>
    <w:rsid w:val="651D2E62"/>
    <w:rsid w:val="655F469A"/>
    <w:rsid w:val="657A02B4"/>
    <w:rsid w:val="65AE61B0"/>
    <w:rsid w:val="65B71508"/>
    <w:rsid w:val="65C77271"/>
    <w:rsid w:val="65CE23AE"/>
    <w:rsid w:val="65D025CA"/>
    <w:rsid w:val="6632293D"/>
    <w:rsid w:val="6655487D"/>
    <w:rsid w:val="6693338F"/>
    <w:rsid w:val="669E6224"/>
    <w:rsid w:val="66BC66AA"/>
    <w:rsid w:val="66C11F13"/>
    <w:rsid w:val="66FD73EF"/>
    <w:rsid w:val="673821D5"/>
    <w:rsid w:val="67603778"/>
    <w:rsid w:val="676A4358"/>
    <w:rsid w:val="67A05374"/>
    <w:rsid w:val="67B056F8"/>
    <w:rsid w:val="67C24194"/>
    <w:rsid w:val="67C831A5"/>
    <w:rsid w:val="67F500C6"/>
    <w:rsid w:val="68106CAE"/>
    <w:rsid w:val="684A6664"/>
    <w:rsid w:val="68555008"/>
    <w:rsid w:val="68684D3C"/>
    <w:rsid w:val="68A815DC"/>
    <w:rsid w:val="68AA0EB0"/>
    <w:rsid w:val="68B97345"/>
    <w:rsid w:val="68BC5088"/>
    <w:rsid w:val="68BF2482"/>
    <w:rsid w:val="68C36416"/>
    <w:rsid w:val="68F0088D"/>
    <w:rsid w:val="68F20AA9"/>
    <w:rsid w:val="690305C1"/>
    <w:rsid w:val="690D143F"/>
    <w:rsid w:val="691E189E"/>
    <w:rsid w:val="695C2A11"/>
    <w:rsid w:val="69635503"/>
    <w:rsid w:val="697F233D"/>
    <w:rsid w:val="69B83AA1"/>
    <w:rsid w:val="69E15FA6"/>
    <w:rsid w:val="69E5416A"/>
    <w:rsid w:val="6A5A29FD"/>
    <w:rsid w:val="6A9811DC"/>
    <w:rsid w:val="6A9C6F1F"/>
    <w:rsid w:val="6AF467D1"/>
    <w:rsid w:val="6B0C5BC4"/>
    <w:rsid w:val="6B5C045C"/>
    <w:rsid w:val="6B6537B4"/>
    <w:rsid w:val="6B656306"/>
    <w:rsid w:val="6C0E08BC"/>
    <w:rsid w:val="6C1D408F"/>
    <w:rsid w:val="6C305B70"/>
    <w:rsid w:val="6C563A68"/>
    <w:rsid w:val="6CAE4CE7"/>
    <w:rsid w:val="6CC62031"/>
    <w:rsid w:val="6CD94028"/>
    <w:rsid w:val="6D194857"/>
    <w:rsid w:val="6D3276C6"/>
    <w:rsid w:val="6E6F1B20"/>
    <w:rsid w:val="6E7206C2"/>
    <w:rsid w:val="6E7D2BC3"/>
    <w:rsid w:val="6E9323E7"/>
    <w:rsid w:val="6EC16F54"/>
    <w:rsid w:val="6ED07197"/>
    <w:rsid w:val="6F6F409F"/>
    <w:rsid w:val="6F764F50"/>
    <w:rsid w:val="6F767D3E"/>
    <w:rsid w:val="6F906926"/>
    <w:rsid w:val="6F926156"/>
    <w:rsid w:val="6FFD045F"/>
    <w:rsid w:val="70057314"/>
    <w:rsid w:val="702E23C7"/>
    <w:rsid w:val="703A384B"/>
    <w:rsid w:val="7056191E"/>
    <w:rsid w:val="70812E3F"/>
    <w:rsid w:val="708C17E3"/>
    <w:rsid w:val="70912956"/>
    <w:rsid w:val="71042123"/>
    <w:rsid w:val="711C515C"/>
    <w:rsid w:val="7161057A"/>
    <w:rsid w:val="716F713B"/>
    <w:rsid w:val="7185070D"/>
    <w:rsid w:val="71995F66"/>
    <w:rsid w:val="71A843FB"/>
    <w:rsid w:val="71B306CB"/>
    <w:rsid w:val="71D148B3"/>
    <w:rsid w:val="71EA4A14"/>
    <w:rsid w:val="72127AC6"/>
    <w:rsid w:val="721750DD"/>
    <w:rsid w:val="724A54B2"/>
    <w:rsid w:val="725A3947"/>
    <w:rsid w:val="72772534"/>
    <w:rsid w:val="728E43F3"/>
    <w:rsid w:val="72A56160"/>
    <w:rsid w:val="72C708B1"/>
    <w:rsid w:val="72D134DE"/>
    <w:rsid w:val="72DD1E82"/>
    <w:rsid w:val="73005B71"/>
    <w:rsid w:val="733C304D"/>
    <w:rsid w:val="73487C44"/>
    <w:rsid w:val="736507F6"/>
    <w:rsid w:val="73814F04"/>
    <w:rsid w:val="7386251A"/>
    <w:rsid w:val="739015EB"/>
    <w:rsid w:val="73E159A2"/>
    <w:rsid w:val="745919DD"/>
    <w:rsid w:val="74C94DB4"/>
    <w:rsid w:val="74F17E67"/>
    <w:rsid w:val="74F57957"/>
    <w:rsid w:val="750951B1"/>
    <w:rsid w:val="75211C14"/>
    <w:rsid w:val="752902B3"/>
    <w:rsid w:val="75306BE1"/>
    <w:rsid w:val="75324707"/>
    <w:rsid w:val="75427545"/>
    <w:rsid w:val="756C0EA0"/>
    <w:rsid w:val="75757662"/>
    <w:rsid w:val="75774810"/>
    <w:rsid w:val="757D16FB"/>
    <w:rsid w:val="75B90985"/>
    <w:rsid w:val="75D237F5"/>
    <w:rsid w:val="75EB0D5A"/>
    <w:rsid w:val="75F04DFC"/>
    <w:rsid w:val="75FB71EF"/>
    <w:rsid w:val="761402B1"/>
    <w:rsid w:val="76263B40"/>
    <w:rsid w:val="76805946"/>
    <w:rsid w:val="768865A9"/>
    <w:rsid w:val="768F7938"/>
    <w:rsid w:val="76984A3E"/>
    <w:rsid w:val="769A6A08"/>
    <w:rsid w:val="76A809F9"/>
    <w:rsid w:val="76F0487A"/>
    <w:rsid w:val="7706409E"/>
    <w:rsid w:val="77212C85"/>
    <w:rsid w:val="773544BB"/>
    <w:rsid w:val="773C7ABF"/>
    <w:rsid w:val="77640952"/>
    <w:rsid w:val="78176169"/>
    <w:rsid w:val="78503CD1"/>
    <w:rsid w:val="78C95383"/>
    <w:rsid w:val="78CC09CF"/>
    <w:rsid w:val="78EA52F9"/>
    <w:rsid w:val="79077C59"/>
    <w:rsid w:val="79184E10"/>
    <w:rsid w:val="79222CE5"/>
    <w:rsid w:val="79D42231"/>
    <w:rsid w:val="79D51B05"/>
    <w:rsid w:val="79E81839"/>
    <w:rsid w:val="79F91C98"/>
    <w:rsid w:val="7A340F22"/>
    <w:rsid w:val="7A3C3932"/>
    <w:rsid w:val="7A5E1AFB"/>
    <w:rsid w:val="7A861051"/>
    <w:rsid w:val="7AB46F1B"/>
    <w:rsid w:val="7ACA3634"/>
    <w:rsid w:val="7B0F7577"/>
    <w:rsid w:val="7B193C74"/>
    <w:rsid w:val="7B8F0F30"/>
    <w:rsid w:val="7B9B0B2D"/>
    <w:rsid w:val="7B9D6653"/>
    <w:rsid w:val="7BBD4F47"/>
    <w:rsid w:val="7BCD518A"/>
    <w:rsid w:val="7BE40725"/>
    <w:rsid w:val="7C2E374F"/>
    <w:rsid w:val="7C3E1BE4"/>
    <w:rsid w:val="7C9D24A7"/>
    <w:rsid w:val="7CC12815"/>
    <w:rsid w:val="7D052701"/>
    <w:rsid w:val="7D1E37C3"/>
    <w:rsid w:val="7D2C6680"/>
    <w:rsid w:val="7D3905FD"/>
    <w:rsid w:val="7D537911"/>
    <w:rsid w:val="7D5B0573"/>
    <w:rsid w:val="7D6438CC"/>
    <w:rsid w:val="7D761851"/>
    <w:rsid w:val="7DA939D5"/>
    <w:rsid w:val="7DB639FC"/>
    <w:rsid w:val="7DE62533"/>
    <w:rsid w:val="7DF12C86"/>
    <w:rsid w:val="7DF32EA2"/>
    <w:rsid w:val="7E096221"/>
    <w:rsid w:val="7E2B43EA"/>
    <w:rsid w:val="7E5733E6"/>
    <w:rsid w:val="7E795155"/>
    <w:rsid w:val="7EB51F05"/>
    <w:rsid w:val="7ED92098"/>
    <w:rsid w:val="7EE03426"/>
    <w:rsid w:val="7EE50A3C"/>
    <w:rsid w:val="7EEB3B79"/>
    <w:rsid w:val="7EF42A2E"/>
    <w:rsid w:val="7EF7251E"/>
    <w:rsid w:val="7EFC7B34"/>
    <w:rsid w:val="7F0B7D77"/>
    <w:rsid w:val="7F0D1D41"/>
    <w:rsid w:val="7F144E7E"/>
    <w:rsid w:val="7F1621CA"/>
    <w:rsid w:val="7F3948E4"/>
    <w:rsid w:val="BFFFC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ind w:left="0" w:firstLine="0" w:firstLineChars="0"/>
      <w:outlineLvl w:val="1"/>
    </w:pPr>
    <w:rPr>
      <w:rFonts w:ascii="黑体" w:hAnsi="黑体" w:eastAsia="黑体" w:cs="Times New Roman"/>
      <w:sz w:val="30"/>
      <w:szCs w:val="30"/>
      <w:lang w:bidi="ar-SA"/>
    </w:rPr>
  </w:style>
  <w:style w:type="paragraph" w:styleId="4">
    <w:name w:val="heading 6"/>
    <w:basedOn w:val="5"/>
    <w:next w:val="5"/>
    <w:qFormat/>
    <w:uiPriority w:val="0"/>
    <w:pPr>
      <w:keepNext/>
      <w:keepLines/>
      <w:widowControl w:val="0"/>
      <w:spacing w:line="316" w:lineRule="auto"/>
      <w:jc w:val="both"/>
      <w:outlineLvl w:val="5"/>
    </w:pPr>
    <w:rPr>
      <w:rFonts w:ascii="Arial" w:hAnsi="Arial" w:eastAsia="黑体" w:cs="Arial"/>
      <w:b/>
      <w:kern w:val="2"/>
      <w:sz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正文"/>
    <w:next w:val="6"/>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
    <w:name w:val="1正文"/>
    <w:basedOn w:val="7"/>
    <w:qFormat/>
    <w:uiPriority w:val="0"/>
    <w:pPr>
      <w:spacing w:beforeAutospacing="0" w:afterAutospacing="0" w:line="360" w:lineRule="auto"/>
      <w:ind w:firstLine="200" w:firstLineChars="200"/>
      <w:jc w:val="both"/>
    </w:pPr>
    <w:rPr>
      <w:rFonts w:ascii="Times New Roman" w:hAnsi="Times New Roman" w:cs="Times New Roman"/>
      <w:kern w:val="0"/>
      <w:szCs w:val="24"/>
    </w:rPr>
  </w:style>
  <w:style w:type="paragraph" w:styleId="7">
    <w:name w:val="Normal (Web)"/>
    <w:basedOn w:val="1"/>
    <w:next w:val="8"/>
    <w:qFormat/>
    <w:uiPriority w:val="0"/>
    <w:pPr>
      <w:spacing w:before="100" w:beforeAutospacing="1" w:after="100" w:afterAutospacing="1"/>
      <w:ind w:left="0" w:right="0"/>
      <w:jc w:val="left"/>
    </w:pPr>
    <w:rPr>
      <w:kern w:val="0"/>
      <w:sz w:val="24"/>
      <w:lang w:val="en-US" w:eastAsia="zh-CN" w:bidi="ar"/>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able of authorities"/>
    <w:basedOn w:val="1"/>
    <w:next w:val="1"/>
    <w:unhideWhenUsed/>
    <w:qFormat/>
    <w:uiPriority w:val="99"/>
    <w:pPr>
      <w:ind w:left="420" w:leftChars="200"/>
    </w:pPr>
  </w:style>
  <w:style w:type="paragraph" w:styleId="10">
    <w:name w:val="Body Text"/>
    <w:basedOn w:val="1"/>
    <w:next w:val="11"/>
    <w:qFormat/>
    <w:uiPriority w:val="1"/>
    <w:rPr>
      <w:rFonts w:ascii="仿宋" w:hAnsi="仿宋" w:eastAsia="仿宋" w:cs="仿宋"/>
      <w:sz w:val="32"/>
      <w:szCs w:val="32"/>
      <w:lang w:val="zh-CN" w:eastAsia="zh-CN" w:bidi="zh-CN"/>
    </w:rPr>
  </w:style>
  <w:style w:type="paragraph" w:styleId="11">
    <w:name w:val="Body Text First Indent"/>
    <w:basedOn w:val="10"/>
    <w:unhideWhenUsed/>
    <w:qFormat/>
    <w:uiPriority w:val="99"/>
    <w:pPr>
      <w:ind w:firstLine="420" w:firstLineChars="100"/>
    </w:pPr>
    <w:rPr>
      <w:rFonts w:ascii="Calibri" w:hAnsi="Calibri" w:eastAsia="宋体" w:cs="Times New Roman"/>
      <w:szCs w:val="24"/>
    </w:rPr>
  </w:style>
  <w:style w:type="paragraph" w:styleId="12">
    <w:name w:val="toc 3"/>
    <w:basedOn w:val="1"/>
    <w:next w:val="1"/>
    <w:qFormat/>
    <w:uiPriority w:val="0"/>
    <w:pPr>
      <w:ind w:left="840" w:leftChars="40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列出段落1"/>
    <w:basedOn w:val="1"/>
    <w:unhideWhenUsed/>
    <w:qFormat/>
    <w:uiPriority w:val="0"/>
    <w:pPr>
      <w:spacing w:beforeLines="0" w:afterLines="0"/>
      <w:ind w:firstLine="420" w:firstLineChars="200"/>
    </w:pPr>
    <w:rPr>
      <w:rFonts w:hint="eastAsia"/>
      <w:sz w:val="21"/>
      <w:szCs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198</Words>
  <Characters>219</Characters>
  <Lines>1</Lines>
  <Paragraphs>1</Paragraphs>
  <TotalTime>7</TotalTime>
  <ScaleCrop>false</ScaleCrop>
  <LinksUpToDate>false</LinksUpToDate>
  <CharactersWithSpaces>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2021-11-25T09:06:00Z</dcterms:created>
  <dc:creator>admin</dc:creator>
  <cp:lastModifiedBy>呵呵</cp:lastModifiedBy>
  <cp:lastPrinted>2021-12-22T17:23:00Z</cp:lastPrinted>
  <dcterms:modified xsi:type="dcterms:W3CDTF">2025-04-21T07:03:03Z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A4EEB3EF9DEA4BB087A9025FC8541229</vt:lpwstr>
  </property>
  <property fmtid="{D5CDD505-2E9C-101B-9397-08002B2CF9AE}" pid="4" name="KSOTemplateDocerSaveRecord">
    <vt:lpwstr>eyJoZGlkIjoiNzRkMDJkOTIxYTNlNmVhMjMyM2IzYzkxMmYwNDNjZTMiLCJ1c2VySWQiOiI0Mjc3MDcwMDIifQ==</vt:lpwstr>
  </property>
</Properties>
</file>