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rPr>
        <w:t>（十六）农村危房改造领域基层政务公开标准目录</w:t>
      </w:r>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hint="eastAsia"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二连住建局</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09" w:type="dxa"/>
            <w:vMerge w:val="continue"/>
            <w:shd w:val="clear" w:color="auto" w:fill="auto"/>
            <w:vAlign w:val="center"/>
          </w:tcPr>
          <w:p>
            <w:pPr>
              <w:jc w:val="center"/>
              <w:rPr>
                <w:rFonts w:hint="eastAsia" w:ascii="仿宋_GB2312" w:hAnsi="宋体" w:eastAsia="仿宋_GB2312"/>
                <w:color w:val="000000"/>
                <w:sz w:val="18"/>
                <w:szCs w:val="18"/>
              </w:rPr>
            </w:pPr>
          </w:p>
        </w:tc>
        <w:tc>
          <w:tcPr>
            <w:tcW w:w="551"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hint="eastAsia" w:ascii="仿宋_GB2312" w:hAnsi="宋体" w:eastAsia="仿宋_GB2312"/>
                <w:color w:val="000000"/>
                <w:sz w:val="18"/>
                <w:szCs w:val="18"/>
              </w:rPr>
            </w:pPr>
            <w:r>
              <w:rPr>
                <w:rFonts w:hint="eastAsia" w:ascii="黑体" w:hAnsi="宋体" w:eastAsia="黑体" w:cs="宋体"/>
                <w:color w:val="000000"/>
                <w:kern w:val="0"/>
                <w:sz w:val="22"/>
                <w:lang w:val="en-US" w:eastAsia="zh-CN"/>
              </w:rPr>
              <w:t>二连住建局</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46120"/>
    <w:rsid w:val="00190068"/>
    <w:rsid w:val="00193DB9"/>
    <w:rsid w:val="001E6D63"/>
    <w:rsid w:val="002967AA"/>
    <w:rsid w:val="002E0878"/>
    <w:rsid w:val="003B2C77"/>
    <w:rsid w:val="004077CB"/>
    <w:rsid w:val="00416393"/>
    <w:rsid w:val="00505CE0"/>
    <w:rsid w:val="00612901"/>
    <w:rsid w:val="008438B0"/>
    <w:rsid w:val="008F4AE5"/>
    <w:rsid w:val="00902A01"/>
    <w:rsid w:val="00A41EEC"/>
    <w:rsid w:val="00AA6B60"/>
    <w:rsid w:val="00B56955"/>
    <w:rsid w:val="00C3715A"/>
    <w:rsid w:val="00FA002F"/>
    <w:rsid w:val="00FE0F57"/>
    <w:rsid w:val="0D4E4228"/>
    <w:rsid w:val="5227276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uiPriority w:val="0"/>
    <w:rPr>
      <w:rFonts w:ascii="Calibri" w:hAnsi="Calibri" w:eastAsia="宋体" w:cs="Times New Roman"/>
    </w:rPr>
  </w:style>
  <w:style w:type="character" w:customStyle="1" w:styleId="18">
    <w:name w:val="批注主题 字符"/>
    <w:basedOn w:val="17"/>
    <w:link w:val="8"/>
    <w:semiHidden/>
    <w:uiPriority w:val="0"/>
    <w:rPr>
      <w:rFonts w:ascii="Calibri" w:hAnsi="Calibri" w:eastAsia="宋体" w:cs="Times New Roman"/>
      <w:b/>
      <w:bCs/>
    </w:rPr>
  </w:style>
  <w:style w:type="character" w:customStyle="1" w:styleId="19">
    <w:name w:val="批注框文本 字符"/>
    <w:basedOn w:val="11"/>
    <w:link w:val="4"/>
    <w:semiHidden/>
    <w:uiPriority w:val="0"/>
    <w:rPr>
      <w:rFonts w:ascii="Calibri" w:hAnsi="Calibri" w:eastAsia="宋体" w:cs="Times New Roman"/>
      <w:sz w:val="18"/>
      <w:szCs w:val="18"/>
    </w:rPr>
  </w:style>
  <w:style w:type="paragraph" w:customStyle="1" w:styleId="20">
    <w:name w:val="列出段落1"/>
    <w:basedOn w:val="1"/>
    <w:uiPriority w:val="0"/>
    <w:pPr>
      <w:ind w:firstLine="420" w:firstLineChars="200"/>
    </w:pPr>
  </w:style>
  <w:style w:type="character" w:customStyle="1" w:styleId="21">
    <w:name w:val="页眉 字符"/>
    <w:basedOn w:val="11"/>
    <w:link w:val="6"/>
    <w:uiPriority w:val="0"/>
    <w:rPr>
      <w:rFonts w:ascii="Calibri" w:hAnsi="Calibri" w:eastAsia="宋体" w:cs="Times New Roman"/>
      <w:sz w:val="18"/>
      <w:szCs w:val="18"/>
    </w:rPr>
  </w:style>
  <w:style w:type="character" w:customStyle="1" w:styleId="22">
    <w:name w:val="页脚 字符"/>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972B-1E68-4020-8D07-2BF35FE7A1AE}">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1678</Words>
  <Characters>1699</Characters>
  <Lines>14</Lines>
  <Paragraphs>4</Paragraphs>
  <TotalTime>0</TotalTime>
  <ScaleCrop>false</ScaleCrop>
  <LinksUpToDate>false</LinksUpToDate>
  <CharactersWithSpaces>1704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tai yuzhu</dc:creator>
  <cp:lastModifiedBy>呵呵</cp:lastModifiedBy>
  <dcterms:modified xsi:type="dcterms:W3CDTF">2023-04-07T08:59:12Z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2E7986ED6C3F4B56B6B69D47D062EC31_12</vt:lpwstr>
  </property>
</Properties>
</file>