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4"/>
      <w:r>
        <w:rPr>
          <w:rFonts w:hint="eastAsia" w:ascii="方正小标宋_GBK" w:hAnsi="方正小标宋_GBK" w:eastAsia="方正小标宋_GBK"/>
          <w:b w:val="0"/>
          <w:bCs w:val="0"/>
          <w:sz w:val="30"/>
          <w:lang w:eastAsia="zh-CN"/>
        </w:rPr>
        <w:t>二连浩特市卫生健康委</w:t>
      </w:r>
      <w:r>
        <w:rPr>
          <w:rFonts w:hint="eastAsia" w:ascii="方正小标宋_GBK" w:hAnsi="方正小标宋_GBK" w:eastAsia="方正小标宋_GBK"/>
          <w:b w:val="0"/>
          <w:bCs w:val="0"/>
          <w:sz w:val="30"/>
        </w:rPr>
        <w:t>政务公开标准目录</w:t>
      </w:r>
      <w:bookmarkEnd w:id="0"/>
    </w:p>
    <w:tbl>
      <w:tblPr>
        <w:tblStyle w:val="9"/>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《中华人民共和国母婴保健法》</w:t>
            </w:r>
            <w:r>
              <w:rPr>
                <w:rFonts w:hint="eastAsia" w:ascii="仿宋_GB2312" w:hAnsi="宋体" w:eastAsia="仿宋_GB2312"/>
                <w:color w:val="000000"/>
                <w:sz w:val="18"/>
                <w:szCs w:val="18"/>
              </w:rPr>
              <w:t>、《计划生育技术服务管理条例》、《母婴保健法实施办法》、《国务院关于第六批取消和调整行政审批项目的决定》、《国家卫生健康委关于修改&lt;职业健康检查管理办法&gt;等4部门规章的决定》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20" w:type="dxa"/>
            <w:vMerge w:val="continue"/>
            <w:shd w:val="clear" w:color="auto" w:fill="auto"/>
            <w:vAlign w:val="center"/>
          </w:tcPr>
          <w:p>
            <w:pPr>
              <w:rPr>
                <w:rFonts w:hint="eastAsia" w:ascii="仿宋_GB2312" w:hAnsi="宋体" w:eastAsia="仿宋_GB2312" w:cs="宋体"/>
                <w:bCs/>
                <w:color w:val="000000"/>
                <w:sz w:val="18"/>
                <w:szCs w:val="18"/>
              </w:rPr>
            </w:pPr>
          </w:p>
        </w:tc>
        <w:tc>
          <w:tcPr>
            <w:tcW w:w="1188" w:type="dxa"/>
            <w:vMerge w:val="continue"/>
            <w:shd w:val="clear" w:color="auto" w:fill="auto"/>
            <w:vAlign w:val="center"/>
          </w:tcPr>
          <w:p>
            <w:pPr>
              <w:rPr>
                <w:rFonts w:hint="eastAsia" w:ascii="仿宋_GB2312" w:hAnsi="宋体" w:eastAsia="仿宋_GB2312" w:cs="宋体"/>
                <w:color w:val="000000"/>
                <w:sz w:val="18"/>
                <w:szCs w:val="18"/>
              </w:rPr>
            </w:pP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hint="eastAsia"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《中华人民共和国母婴保健法》</w:t>
            </w:r>
            <w:r>
              <w:rPr>
                <w:rFonts w:hint="eastAsia" w:ascii="仿宋_GB2312" w:hAnsi="宋体" w:eastAsia="仿宋_GB2312"/>
                <w:color w:val="000000"/>
                <w:sz w:val="18"/>
                <w:szCs w:val="18"/>
              </w:rPr>
              <w:t>、《计划生育技术服务管理条例》、《母婴保健法实施办法》、《国家卫生健康委关于修改&lt;职业健康检查管理办法&gt;等4部门规章的决定》、《计划生育技术服务管理条例实施细则》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《中华人民共和国中医药法》</w:t>
            </w:r>
            <w:r>
              <w:rPr>
                <w:rFonts w:hint="eastAsia" w:ascii="仿宋_GB2312" w:hAnsi="宋体" w:eastAsia="仿宋_GB2312"/>
                <w:color w:val="000000"/>
                <w:sz w:val="18"/>
                <w:szCs w:val="18"/>
              </w:rPr>
              <w:t>、《医疗机构管理条例》、《国务院关于取消和下放50项行政审批项目等事项的决定》、《医疗机构管理条例实施细则》、《医疗美容服务管理办法》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、《执业医师法》、《医师执业注册管理办法》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、《护士条例》、《国务院关于取消和下放一批行政许可事项的决定》、《国家卫生健康委关于做好下放护士执业注册审批有关工作的通知》、《护士执业注册管理办法》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shd w:val="clear" w:color="auto" w:fill="auto"/>
            <w:vAlign w:val="center"/>
          </w:tcPr>
          <w:p>
            <w:pPr>
              <w:widowControl/>
              <w:jc w:val="left"/>
              <w:rPr>
                <w:rFonts w:ascii="宋体" w:hAnsi="宋体" w:cs="宋体"/>
                <w:bCs/>
                <w:color w:val="000000"/>
                <w:kern w:val="0"/>
                <w:sz w:val="15"/>
                <w:szCs w:val="15"/>
              </w:rPr>
            </w:pPr>
          </w:p>
        </w:tc>
        <w:tc>
          <w:tcPr>
            <w:tcW w:w="1188" w:type="dxa"/>
            <w:vMerge w:val="continue"/>
            <w:shd w:val="clear" w:color="auto" w:fill="auto"/>
            <w:vAlign w:val="center"/>
          </w:tcPr>
          <w:p>
            <w:pPr>
              <w:widowControl/>
              <w:jc w:val="left"/>
              <w:rPr>
                <w:rFonts w:ascii="宋体" w:hAnsi="宋体" w:cs="宋体"/>
                <w:color w:val="000000"/>
                <w:kern w:val="0"/>
                <w:sz w:val="15"/>
                <w:szCs w:val="15"/>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《中华人民共和国传染病防治法》</w:t>
            </w:r>
            <w:r>
              <w:rPr>
                <w:rFonts w:hint="eastAsia" w:ascii="仿宋_GB2312" w:hAnsi="宋体" w:eastAsia="仿宋_GB2312"/>
                <w:color w:val="000000"/>
                <w:sz w:val="18"/>
                <w:szCs w:val="18"/>
              </w:rPr>
              <w:t>、《传染病防治法实施办法》、《国务院对确需保留的行政审批项目设定行政许可的决定》、《生活饮用水卫生监督管理办法》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188" w:type="dxa"/>
            <w:vMerge w:val="continue"/>
            <w:shd w:val="clear" w:color="auto" w:fill="auto"/>
            <w:vAlign w:val="center"/>
          </w:tcPr>
          <w:p>
            <w:pPr>
              <w:widowControl/>
              <w:jc w:val="left"/>
              <w:rPr>
                <w:rFonts w:ascii="仿宋_GB2312" w:hAnsi="宋体" w:eastAsia="仿宋_GB2312"/>
                <w:color w:val="000000"/>
                <w:sz w:val="18"/>
                <w:szCs w:val="18"/>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96"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40" w:type="dxa"/>
            <w:shd w:val="clear" w:color="auto" w:fill="auto"/>
            <w:vAlign w:val="center"/>
          </w:tcPr>
          <w:p>
            <w:pPr>
              <w:widowControl/>
              <w:rPr>
                <w:rFonts w:hint="eastAsia" w:ascii="仿宋_GB2312" w:hAnsi="宋体" w:eastAsia="仿宋_GB2312"/>
                <w:color w:val="000000"/>
                <w:sz w:val="18"/>
                <w:szCs w:val="18"/>
              </w:rPr>
            </w:pPr>
          </w:p>
        </w:tc>
        <w:tc>
          <w:tcPr>
            <w:tcW w:w="664" w:type="dxa"/>
            <w:shd w:val="clear" w:color="auto" w:fill="auto"/>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《中华人民共和国行政处罚法》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第三十条第二款规定实施住院治疗的患者未及时进行检查评估或者未根据评估结果作出处理的处罚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《中华人民共和国行政处罚法》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hint="eastAsia" w:ascii="楷体_GB2312" w:eastAsia="楷体_GB2312"/>
          <w:sz w:val="30"/>
          <w:szCs w:val="30"/>
        </w:rPr>
      </w:pPr>
      <w:r>
        <w:rPr>
          <w:rFonts w:hint="eastAsia" w:ascii="楷体_GB2312" w:eastAsia="楷体_GB2312"/>
          <w:sz w:val="30"/>
          <w:szCs w:val="30"/>
        </w:rPr>
        <w:t>备注：考虑到篇幅原因，卫生健康领域基层政务公开标准目录其他内容略。详见</w:t>
      </w:r>
      <w:r>
        <w:fldChar w:fldCharType="begin"/>
      </w:r>
      <w:r>
        <w:instrText xml:space="preserve"> HYPERLINK "http://www.nhc.gov.cn/bgt/s7692/201909/0f5c5f6f96eb4a218ccd2b15ca0ce294.shtml" </w:instrText>
      </w:r>
      <w:r>
        <w:fldChar w:fldCharType="separate"/>
      </w:r>
      <w:r>
        <w:rPr>
          <w:rStyle w:val="14"/>
          <w:rFonts w:ascii="楷体_GB2312" w:eastAsia="楷体_GB2312"/>
          <w:sz w:val="30"/>
          <w:szCs w:val="30"/>
        </w:rPr>
        <w:t>http://www.nhc.gov.cn/bgt/s7692/201909/0f5c5f6f96eb4a218ccd2b15ca0ce294.shtml</w:t>
      </w:r>
      <w:r>
        <w:rPr>
          <w:rStyle w:val="14"/>
          <w:rFonts w:ascii="楷体_GB2312" w:eastAsia="楷体_GB2312"/>
          <w:sz w:val="30"/>
          <w:szCs w:val="30"/>
        </w:rPr>
        <w:fldChar w:fldCharType="end"/>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ODdmNzM5NDRhNDA1ZmU2MDkwMDg0OTg2NjVhZTcifQ=="/>
  </w:docVars>
  <w:rsids>
    <w:rsidRoot w:val="00416393"/>
    <w:rsid w:val="00146120"/>
    <w:rsid w:val="00190068"/>
    <w:rsid w:val="00193DB9"/>
    <w:rsid w:val="001E6D63"/>
    <w:rsid w:val="00200C4C"/>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56955"/>
    <w:rsid w:val="00C3715A"/>
    <w:rsid w:val="00D31D5E"/>
    <w:rsid w:val="00F07C25"/>
    <w:rsid w:val="00FA002F"/>
    <w:rsid w:val="0D1B1BBB"/>
    <w:rsid w:val="3D120A91"/>
    <w:rsid w:val="504900F4"/>
    <w:rsid w:val="5BE15E4E"/>
    <w:rsid w:val="789362F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790-06FC-4C94-9787-7FBB3E514EEB}">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4806</Words>
  <Characters>4929</Characters>
  <Lines>39</Lines>
  <Paragraphs>11</Paragraphs>
  <TotalTime>28</TotalTime>
  <ScaleCrop>false</ScaleCrop>
  <LinksUpToDate>false</LinksUpToDate>
  <CharactersWithSpaces>5158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2020-03-06T07:44:00Z</dcterms:created>
  <dc:creator>tai yuzhu</dc:creator>
  <cp:lastModifiedBy>呵呵</cp:lastModifiedBy>
  <cp:lastPrinted>2020-12-02T00:44:00Z</cp:lastPrinted>
  <dcterms:modified xsi:type="dcterms:W3CDTF">2023-03-01T03:53:07Z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E4C604407E9C4BF1A95F0E003879131A</vt:lpwstr>
  </property>
</Properties>
</file>